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F62EB" w14:textId="084AF893"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6F709D">
        <w:rPr>
          <w:rStyle w:val="berschrift2Zchn"/>
          <w:color w:val="656567" w:themeColor="text2" w:themeShade="BF"/>
        </w:rPr>
        <w:t>20</w:t>
      </w:r>
      <w:r w:rsidR="004E23B3">
        <w:rPr>
          <w:b w:val="0"/>
          <w:bCs/>
          <w:sz w:val="22"/>
          <w:szCs w:val="26"/>
        </w:rPr>
        <w:t>.11.2024</w:t>
      </w:r>
      <w:r w:rsidR="00453E24">
        <w:rPr>
          <w:rStyle w:val="berschrift2Zchn"/>
          <w:color w:val="656567" w:themeColor="text2" w:themeShade="BF"/>
        </w:rPr>
        <w:t xml:space="preserve">, </w:t>
      </w:r>
      <w:r w:rsidR="007F18C8">
        <w:rPr>
          <w:rStyle w:val="berschrift2Zchn"/>
          <w:color w:val="656567" w:themeColor="text2" w:themeShade="BF"/>
        </w:rPr>
        <w:t>1</w:t>
      </w:r>
      <w:r w:rsidR="006F709D">
        <w:rPr>
          <w:rStyle w:val="berschrift2Zchn"/>
          <w:color w:val="656567" w:themeColor="text2" w:themeShade="BF"/>
        </w:rPr>
        <w:t>4</w:t>
      </w:r>
      <w:r w:rsidR="007F18C8">
        <w:rPr>
          <w:rStyle w:val="berschrift2Zchn"/>
          <w:color w:val="656567" w:themeColor="text2" w:themeShade="BF"/>
        </w:rPr>
        <w:t>.00 Uhr</w:t>
      </w:r>
      <w:r w:rsidR="00453E24" w:rsidRPr="00453E24">
        <w:rPr>
          <w:rStyle w:val="berschrift2Zchn"/>
          <w:color w:val="656567" w:themeColor="text2" w:themeShade="BF"/>
        </w:rPr>
        <w:t>)</w:t>
      </w:r>
    </w:p>
    <w:p w14:paraId="0902AC1D" w14:textId="7B249C7D" w:rsidR="009C0D41" w:rsidRDefault="00CD5E3C" w:rsidP="00453E24">
      <w:pPr>
        <w:pStyle w:val="Untertitel"/>
      </w:pPr>
      <w:r>
        <w:t xml:space="preserve">Stadtratssitzung vom </w:t>
      </w:r>
      <w:r w:rsidR="00F55794">
        <w:t>21. November 2024</w:t>
      </w:r>
    </w:p>
    <w:p w14:paraId="46FC5477" w14:textId="0FB1FFAB" w:rsidR="006216BE" w:rsidRPr="006216BE" w:rsidRDefault="006216BE" w:rsidP="006216BE">
      <w:pPr>
        <w:keepNext/>
        <w:keepLines/>
        <w:spacing w:before="200" w:after="40" w:line="240" w:lineRule="auto"/>
        <w:outlineLvl w:val="2"/>
        <w:rPr>
          <w:rFonts w:asciiTheme="majorHAnsi" w:eastAsiaTheme="majorEastAsia" w:hAnsiTheme="majorHAnsi" w:cstheme="majorBidi"/>
          <w:b/>
          <w:bCs/>
          <w:color w:val="000000" w:themeColor="text1"/>
        </w:rPr>
      </w:pPr>
      <w:r w:rsidRPr="006216BE">
        <w:rPr>
          <w:rFonts w:asciiTheme="majorHAnsi" w:eastAsiaTheme="majorEastAsia" w:hAnsiTheme="majorHAnsi" w:cstheme="majorBidi"/>
          <w:b/>
          <w:bCs/>
          <w:color w:val="000000" w:themeColor="text1"/>
        </w:rPr>
        <w:t>Ordnungsantr</w:t>
      </w:r>
      <w:r w:rsidR="00390560">
        <w:rPr>
          <w:rFonts w:asciiTheme="majorHAnsi" w:eastAsiaTheme="majorEastAsia" w:hAnsiTheme="majorHAnsi" w:cstheme="majorBidi"/>
          <w:b/>
          <w:bCs/>
          <w:color w:val="000000" w:themeColor="text1"/>
        </w:rPr>
        <w:t>a</w:t>
      </w:r>
      <w:r w:rsidRPr="006216BE">
        <w:rPr>
          <w:rFonts w:asciiTheme="majorHAnsi" w:eastAsiaTheme="majorEastAsia" w:hAnsiTheme="majorHAnsi" w:cstheme="majorBidi"/>
          <w:b/>
          <w:bCs/>
          <w:color w:val="000000" w:themeColor="text1"/>
        </w:rPr>
        <w:t>g</w:t>
      </w:r>
    </w:p>
    <w:tbl>
      <w:tblPr>
        <w:tblStyle w:val="Tabellenraster1"/>
        <w:tblW w:w="5000" w:type="pct"/>
        <w:tblLook w:val="04A0" w:firstRow="1" w:lastRow="0" w:firstColumn="1" w:lastColumn="0" w:noHBand="0" w:noVBand="1"/>
      </w:tblPr>
      <w:tblGrid>
        <w:gridCol w:w="676"/>
        <w:gridCol w:w="2259"/>
        <w:gridCol w:w="5245"/>
        <w:gridCol w:w="5331"/>
      </w:tblGrid>
      <w:tr w:rsidR="006216BE" w:rsidRPr="006216BE" w14:paraId="39FDDD11" w14:textId="77777777" w:rsidTr="009347A4">
        <w:trPr>
          <w:tblHeader/>
        </w:trPr>
        <w:tc>
          <w:tcPr>
            <w:tcW w:w="250" w:type="pct"/>
            <w:tcBorders>
              <w:top w:val="single" w:sz="4" w:space="0" w:color="auto"/>
              <w:left w:val="single" w:sz="4" w:space="0" w:color="auto"/>
              <w:bottom w:val="single" w:sz="4" w:space="0" w:color="auto"/>
              <w:right w:val="single" w:sz="4" w:space="0" w:color="auto"/>
            </w:tcBorders>
            <w:hideMark/>
          </w:tcPr>
          <w:p w14:paraId="59413C5C" w14:textId="77777777" w:rsidR="006216BE" w:rsidRPr="006216BE" w:rsidRDefault="006216BE" w:rsidP="006216BE">
            <w:pPr>
              <w:keepNext/>
              <w:keepLines/>
              <w:spacing w:before="200" w:after="40"/>
              <w:outlineLvl w:val="2"/>
              <w:rPr>
                <w:rFonts w:asciiTheme="majorHAnsi" w:eastAsiaTheme="majorEastAsia" w:hAnsiTheme="majorHAnsi" w:cstheme="majorBidi"/>
                <w:b/>
                <w:bCs/>
                <w:color w:val="000000" w:themeColor="text1"/>
              </w:rPr>
            </w:pPr>
            <w:r w:rsidRPr="006216BE">
              <w:rPr>
                <w:rFonts w:asciiTheme="majorHAnsi" w:eastAsiaTheme="majorEastAsia" w:hAnsiTheme="majorHAnsi" w:cstheme="majorBidi"/>
                <w:b/>
                <w:bCs/>
                <w:color w:val="000000" w:themeColor="text1"/>
              </w:rPr>
              <w:t>Nr.</w:t>
            </w:r>
          </w:p>
        </w:tc>
        <w:tc>
          <w:tcPr>
            <w:tcW w:w="836" w:type="pct"/>
            <w:tcBorders>
              <w:top w:val="single" w:sz="4" w:space="0" w:color="auto"/>
              <w:left w:val="single" w:sz="4" w:space="0" w:color="auto"/>
              <w:bottom w:val="single" w:sz="4" w:space="0" w:color="auto"/>
              <w:right w:val="single" w:sz="4" w:space="0" w:color="auto"/>
            </w:tcBorders>
            <w:hideMark/>
          </w:tcPr>
          <w:p w14:paraId="36B57B2D" w14:textId="77777777" w:rsidR="006216BE" w:rsidRPr="006216BE" w:rsidRDefault="006216BE" w:rsidP="006216BE">
            <w:pPr>
              <w:keepNext/>
              <w:keepLines/>
              <w:spacing w:before="200" w:after="40"/>
              <w:outlineLvl w:val="2"/>
              <w:rPr>
                <w:rFonts w:asciiTheme="majorHAnsi" w:eastAsiaTheme="majorEastAsia" w:hAnsiTheme="majorHAnsi" w:cstheme="majorBidi"/>
                <w:b/>
                <w:bCs/>
                <w:color w:val="000000" w:themeColor="text1"/>
              </w:rPr>
            </w:pPr>
            <w:r w:rsidRPr="006216BE">
              <w:rPr>
                <w:rFonts w:asciiTheme="majorHAnsi" w:eastAsiaTheme="majorEastAsia" w:hAnsiTheme="majorHAnsi" w:cstheme="majorBidi"/>
                <w:b/>
                <w:bCs/>
                <w:color w:val="000000" w:themeColor="text1"/>
              </w:rPr>
              <w:t>Antragstellende</w:t>
            </w:r>
          </w:p>
        </w:tc>
        <w:tc>
          <w:tcPr>
            <w:tcW w:w="1941" w:type="pct"/>
            <w:tcBorders>
              <w:top w:val="single" w:sz="4" w:space="0" w:color="auto"/>
              <w:left w:val="single" w:sz="4" w:space="0" w:color="auto"/>
              <w:bottom w:val="single" w:sz="4" w:space="0" w:color="auto"/>
              <w:right w:val="single" w:sz="4" w:space="0" w:color="auto"/>
            </w:tcBorders>
          </w:tcPr>
          <w:p w14:paraId="6B433A72" w14:textId="77777777" w:rsidR="006216BE" w:rsidRPr="006216BE" w:rsidRDefault="006216BE" w:rsidP="006216BE">
            <w:pPr>
              <w:keepNext/>
              <w:keepLines/>
              <w:spacing w:before="200" w:after="40"/>
              <w:outlineLvl w:val="2"/>
              <w:rPr>
                <w:rFonts w:asciiTheme="majorHAnsi" w:eastAsiaTheme="majorEastAsia" w:hAnsiTheme="majorHAnsi" w:cstheme="majorBidi"/>
                <w:b/>
                <w:bCs/>
                <w:color w:val="000000" w:themeColor="text1"/>
              </w:rPr>
            </w:pPr>
            <w:r w:rsidRPr="006216BE">
              <w:rPr>
                <w:rFonts w:asciiTheme="majorHAnsi" w:eastAsiaTheme="majorEastAsia" w:hAnsiTheme="majorHAnsi" w:cstheme="majorBidi"/>
                <w:b/>
                <w:bCs/>
                <w:color w:val="000000" w:themeColor="text1"/>
              </w:rPr>
              <w:t>Antrag</w:t>
            </w:r>
          </w:p>
          <w:p w14:paraId="0D262419" w14:textId="77777777" w:rsidR="006216BE" w:rsidRPr="006216BE" w:rsidRDefault="006216BE" w:rsidP="006216BE">
            <w:pPr>
              <w:rPr>
                <w:rFonts w:ascii="Arial" w:hAnsi="Arial"/>
              </w:rPr>
            </w:pPr>
          </w:p>
        </w:tc>
        <w:tc>
          <w:tcPr>
            <w:tcW w:w="1973" w:type="pct"/>
            <w:tcBorders>
              <w:top w:val="single" w:sz="4" w:space="0" w:color="auto"/>
              <w:left w:val="single" w:sz="4" w:space="0" w:color="auto"/>
              <w:bottom w:val="single" w:sz="4" w:space="0" w:color="auto"/>
              <w:right w:val="single" w:sz="4" w:space="0" w:color="auto"/>
            </w:tcBorders>
            <w:hideMark/>
          </w:tcPr>
          <w:p w14:paraId="0B439027" w14:textId="77777777" w:rsidR="006216BE" w:rsidRPr="006216BE" w:rsidRDefault="006216BE" w:rsidP="006216BE">
            <w:pPr>
              <w:keepNext/>
              <w:keepLines/>
              <w:spacing w:before="200" w:after="40"/>
              <w:outlineLvl w:val="2"/>
              <w:rPr>
                <w:rFonts w:asciiTheme="majorHAnsi" w:eastAsiaTheme="majorEastAsia" w:hAnsiTheme="majorHAnsi" w:cstheme="majorBidi"/>
                <w:b/>
                <w:bCs/>
                <w:color w:val="000000" w:themeColor="text1"/>
              </w:rPr>
            </w:pPr>
            <w:r w:rsidRPr="006216BE">
              <w:rPr>
                <w:rFonts w:asciiTheme="majorHAnsi" w:eastAsiaTheme="majorEastAsia" w:hAnsiTheme="majorHAnsi" w:cstheme="majorBidi"/>
                <w:b/>
                <w:bCs/>
                <w:color w:val="000000" w:themeColor="text1"/>
              </w:rPr>
              <w:t>Begründung</w:t>
            </w:r>
          </w:p>
        </w:tc>
      </w:tr>
      <w:tr w:rsidR="006216BE" w:rsidRPr="006216BE" w14:paraId="1687A3D3" w14:textId="77777777" w:rsidTr="009347A4">
        <w:tc>
          <w:tcPr>
            <w:tcW w:w="250" w:type="pct"/>
            <w:tcBorders>
              <w:top w:val="single" w:sz="4" w:space="0" w:color="auto"/>
              <w:left w:val="single" w:sz="4" w:space="0" w:color="auto"/>
              <w:bottom w:val="single" w:sz="4" w:space="0" w:color="auto"/>
              <w:right w:val="single" w:sz="4" w:space="0" w:color="auto"/>
            </w:tcBorders>
          </w:tcPr>
          <w:p w14:paraId="5B16B828" w14:textId="77777777" w:rsidR="006216BE" w:rsidRPr="006216BE" w:rsidRDefault="006216BE" w:rsidP="006216BE">
            <w:pPr>
              <w:numPr>
                <w:ilvl w:val="0"/>
                <w:numId w:val="16"/>
              </w:numPr>
              <w:contextualSpacing/>
              <w:jc w:val="both"/>
              <w:rPr>
                <w:rFonts w:ascii="Arial" w:hAnsi="Arial"/>
              </w:rPr>
            </w:pPr>
          </w:p>
        </w:tc>
        <w:tc>
          <w:tcPr>
            <w:tcW w:w="836" w:type="pct"/>
            <w:tcBorders>
              <w:top w:val="single" w:sz="4" w:space="0" w:color="auto"/>
              <w:left w:val="single" w:sz="4" w:space="0" w:color="auto"/>
              <w:bottom w:val="single" w:sz="4" w:space="0" w:color="auto"/>
              <w:right w:val="single" w:sz="4" w:space="0" w:color="auto"/>
            </w:tcBorders>
          </w:tcPr>
          <w:p w14:paraId="11A3AE5A" w14:textId="77777777" w:rsidR="006216BE" w:rsidRPr="006216BE" w:rsidRDefault="006216BE" w:rsidP="006216BE">
            <w:pPr>
              <w:rPr>
                <w:rFonts w:ascii="Arial" w:hAnsi="Arial"/>
              </w:rPr>
            </w:pPr>
            <w:r w:rsidRPr="006216BE">
              <w:rPr>
                <w:rFonts w:ascii="Arial" w:hAnsi="Arial"/>
              </w:rPr>
              <w:t>Büro</w:t>
            </w:r>
          </w:p>
        </w:tc>
        <w:tc>
          <w:tcPr>
            <w:tcW w:w="1941" w:type="pct"/>
            <w:tcBorders>
              <w:top w:val="single" w:sz="4" w:space="0" w:color="auto"/>
              <w:left w:val="single" w:sz="4" w:space="0" w:color="auto"/>
              <w:bottom w:val="single" w:sz="4" w:space="0" w:color="auto"/>
              <w:right w:val="single" w:sz="4" w:space="0" w:color="auto"/>
            </w:tcBorders>
          </w:tcPr>
          <w:p w14:paraId="4F6461AD" w14:textId="317BC525" w:rsidR="006216BE" w:rsidRPr="006216BE" w:rsidRDefault="006216BE" w:rsidP="006216BE">
            <w:pPr>
              <w:rPr>
                <w:rFonts w:ascii="Arial" w:hAnsi="Arial"/>
              </w:rPr>
            </w:pPr>
            <w:r w:rsidRPr="006216BE">
              <w:rPr>
                <w:rFonts w:ascii="Arial" w:hAnsi="Arial"/>
              </w:rPr>
              <w:t xml:space="preserve">Die Traktanden 5 – </w:t>
            </w:r>
            <w:r w:rsidR="00F903E9">
              <w:rPr>
                <w:rFonts w:ascii="Arial" w:hAnsi="Arial"/>
              </w:rPr>
              <w:t>13</w:t>
            </w:r>
            <w:r w:rsidRPr="006216BE">
              <w:rPr>
                <w:rFonts w:ascii="Arial" w:hAnsi="Arial"/>
              </w:rPr>
              <w:t xml:space="preserve"> werden unter folgender Verhandlungsordnung beraten:</w:t>
            </w:r>
          </w:p>
          <w:tbl>
            <w:tblPr>
              <w:tblStyle w:val="Tabellenraster1"/>
              <w:tblW w:w="488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8"/>
              <w:gridCol w:w="3703"/>
              <w:gridCol w:w="847"/>
            </w:tblGrid>
            <w:tr w:rsidR="006216BE" w:rsidRPr="006216BE" w14:paraId="5356CE4B" w14:textId="77777777" w:rsidTr="009347A4">
              <w:trPr>
                <w:trHeight w:val="475"/>
              </w:trPr>
              <w:tc>
                <w:tcPr>
                  <w:tcW w:w="4041" w:type="dxa"/>
                  <w:gridSpan w:val="2"/>
                </w:tcPr>
                <w:p w14:paraId="5903FF6A" w14:textId="77777777" w:rsidR="006216BE" w:rsidRPr="006216BE" w:rsidRDefault="006216BE" w:rsidP="006216BE">
                  <w:pPr>
                    <w:spacing w:before="100" w:after="40"/>
                    <w:outlineLvl w:val="0"/>
                    <w:rPr>
                      <w:rFonts w:asciiTheme="majorHAnsi" w:eastAsiaTheme="majorEastAsia" w:hAnsiTheme="majorHAnsi" w:cstheme="majorBidi"/>
                      <w:color w:val="D50029" w:themeColor="accent1"/>
                      <w:spacing w:val="10"/>
                    </w:rPr>
                  </w:pPr>
                  <w:r w:rsidRPr="006216BE">
                    <w:rPr>
                      <w:rFonts w:asciiTheme="majorHAnsi" w:eastAsiaTheme="majorEastAsia" w:hAnsiTheme="majorHAnsi" w:cstheme="majorBidi"/>
                      <w:color w:val="D50029" w:themeColor="accent1"/>
                      <w:spacing w:val="10"/>
                    </w:rPr>
                    <w:t>BERATUNG:</w:t>
                  </w:r>
                </w:p>
              </w:tc>
              <w:tc>
                <w:tcPr>
                  <w:tcW w:w="847" w:type="dxa"/>
                </w:tcPr>
                <w:p w14:paraId="096A6FFC" w14:textId="77777777" w:rsidR="006216BE" w:rsidRPr="006216BE" w:rsidRDefault="006216BE" w:rsidP="006216BE">
                  <w:pPr>
                    <w:spacing w:before="100" w:after="40"/>
                    <w:outlineLvl w:val="0"/>
                    <w:rPr>
                      <w:rFonts w:asciiTheme="majorHAnsi" w:eastAsiaTheme="majorEastAsia" w:hAnsiTheme="majorHAnsi" w:cstheme="majorBidi"/>
                      <w:noProof/>
                      <w:color w:val="000000" w:themeColor="text1"/>
                      <w:spacing w:val="10"/>
                    </w:rPr>
                  </w:pPr>
                </w:p>
              </w:tc>
            </w:tr>
            <w:tr w:rsidR="006216BE" w:rsidRPr="006216BE" w14:paraId="63079BA1" w14:textId="77777777" w:rsidTr="009347A4">
              <w:trPr>
                <w:trHeight w:val="515"/>
              </w:trPr>
              <w:tc>
                <w:tcPr>
                  <w:tcW w:w="338" w:type="dxa"/>
                </w:tcPr>
                <w:p w14:paraId="4434F27B" w14:textId="77777777" w:rsidR="006216BE" w:rsidRPr="006216BE" w:rsidRDefault="006216BE" w:rsidP="006216BE">
                  <w:pPr>
                    <w:spacing w:before="100" w:after="40"/>
                    <w:outlineLvl w:val="0"/>
                    <w:rPr>
                      <w:rFonts w:asciiTheme="majorHAnsi" w:eastAsiaTheme="majorEastAsia" w:hAnsiTheme="majorHAnsi" w:cstheme="majorBidi"/>
                      <w:noProof/>
                      <w:color w:val="000000" w:themeColor="text1"/>
                      <w:spacing w:val="10"/>
                    </w:rPr>
                  </w:pPr>
                  <w:bookmarkStart w:id="0" w:name="Textbeginn"/>
                  <w:bookmarkEnd w:id="0"/>
                  <w:r w:rsidRPr="006216BE">
                    <w:rPr>
                      <w:rFonts w:asciiTheme="majorHAnsi" w:eastAsiaTheme="majorEastAsia" w:hAnsiTheme="majorHAnsi" w:cstheme="majorBidi"/>
                      <w:noProof/>
                      <w:color w:val="000000" w:themeColor="text1"/>
                      <w:spacing w:val="10"/>
                    </w:rPr>
                    <w:t>1</w:t>
                  </w:r>
                </w:p>
              </w:tc>
              <w:tc>
                <w:tcPr>
                  <w:tcW w:w="3703" w:type="dxa"/>
                </w:tcPr>
                <w:p w14:paraId="3E472D5A" w14:textId="7446DA08" w:rsidR="006216BE" w:rsidRPr="006216BE" w:rsidRDefault="006216BE" w:rsidP="006216BE">
                  <w:pPr>
                    <w:spacing w:before="100" w:after="40"/>
                    <w:outlineLvl w:val="0"/>
                    <w:rPr>
                      <w:rFonts w:asciiTheme="majorHAnsi" w:eastAsiaTheme="majorEastAsia" w:hAnsiTheme="majorHAnsi" w:cstheme="majorBidi"/>
                      <w:noProof/>
                      <w:color w:val="000000" w:themeColor="text1"/>
                      <w:spacing w:val="10"/>
                    </w:rPr>
                  </w:pPr>
                  <w:r w:rsidRPr="006216BE">
                    <w:rPr>
                      <w:rFonts w:asciiTheme="majorHAnsi" w:eastAsiaTheme="majorEastAsia" w:hAnsiTheme="majorHAnsi" w:cstheme="majorBidi"/>
                      <w:noProof/>
                      <w:color w:val="000000" w:themeColor="text1"/>
                      <w:spacing w:val="10"/>
                    </w:rPr>
                    <w:t xml:space="preserve">Einreichende </w:t>
                  </w:r>
                </w:p>
              </w:tc>
              <w:tc>
                <w:tcPr>
                  <w:tcW w:w="847" w:type="dxa"/>
                </w:tcPr>
                <w:p w14:paraId="4BA3B946" w14:textId="77777777" w:rsidR="006216BE" w:rsidRPr="006216BE" w:rsidRDefault="006216BE" w:rsidP="006216BE">
                  <w:pPr>
                    <w:spacing w:before="100" w:after="40"/>
                    <w:outlineLvl w:val="0"/>
                    <w:rPr>
                      <w:rFonts w:asciiTheme="majorHAnsi" w:eastAsiaTheme="majorEastAsia" w:hAnsiTheme="majorHAnsi" w:cstheme="majorBidi"/>
                      <w:noProof/>
                      <w:color w:val="000000" w:themeColor="text1"/>
                      <w:spacing w:val="10"/>
                    </w:rPr>
                  </w:pPr>
                  <w:r w:rsidRPr="006216BE">
                    <w:rPr>
                      <w:rFonts w:asciiTheme="majorHAnsi" w:eastAsiaTheme="majorEastAsia" w:hAnsiTheme="majorHAnsi" w:cstheme="majorBidi"/>
                      <w:noProof/>
                      <w:color w:val="000000" w:themeColor="text1"/>
                      <w:spacing w:val="10"/>
                    </w:rPr>
                    <w:t>3 Min.</w:t>
                  </w:r>
                </w:p>
              </w:tc>
            </w:tr>
            <w:tr w:rsidR="006216BE" w:rsidRPr="006216BE" w14:paraId="74DA0CBF" w14:textId="77777777" w:rsidTr="009347A4">
              <w:trPr>
                <w:trHeight w:val="507"/>
              </w:trPr>
              <w:tc>
                <w:tcPr>
                  <w:tcW w:w="338" w:type="dxa"/>
                </w:tcPr>
                <w:p w14:paraId="35EA4A3A" w14:textId="77777777" w:rsidR="006216BE" w:rsidRPr="006216BE" w:rsidRDefault="006216BE" w:rsidP="006216BE">
                  <w:pPr>
                    <w:spacing w:before="100" w:after="40"/>
                    <w:outlineLvl w:val="0"/>
                    <w:rPr>
                      <w:rFonts w:asciiTheme="majorHAnsi" w:eastAsiaTheme="majorEastAsia" w:hAnsiTheme="majorHAnsi" w:cstheme="majorBidi"/>
                      <w:noProof/>
                      <w:color w:val="000000" w:themeColor="text1"/>
                      <w:spacing w:val="10"/>
                    </w:rPr>
                  </w:pPr>
                  <w:r w:rsidRPr="006216BE">
                    <w:rPr>
                      <w:rFonts w:asciiTheme="majorHAnsi" w:eastAsiaTheme="majorEastAsia" w:hAnsiTheme="majorHAnsi" w:cstheme="majorBidi"/>
                      <w:noProof/>
                      <w:color w:val="000000" w:themeColor="text1"/>
                      <w:spacing w:val="10"/>
                    </w:rPr>
                    <w:t>2</w:t>
                  </w:r>
                </w:p>
              </w:tc>
              <w:tc>
                <w:tcPr>
                  <w:tcW w:w="3703" w:type="dxa"/>
                </w:tcPr>
                <w:p w14:paraId="782E6BA2" w14:textId="77777777" w:rsidR="006216BE" w:rsidRPr="006216BE" w:rsidRDefault="006216BE" w:rsidP="006216BE">
                  <w:pPr>
                    <w:spacing w:before="100" w:after="40"/>
                    <w:outlineLvl w:val="0"/>
                    <w:rPr>
                      <w:rFonts w:asciiTheme="majorHAnsi" w:eastAsiaTheme="majorEastAsia" w:hAnsiTheme="majorHAnsi" w:cstheme="majorBidi"/>
                      <w:noProof/>
                      <w:color w:val="000000" w:themeColor="text1"/>
                      <w:spacing w:val="10"/>
                    </w:rPr>
                  </w:pPr>
                  <w:r w:rsidRPr="006216BE">
                    <w:rPr>
                      <w:rFonts w:asciiTheme="majorHAnsi" w:eastAsiaTheme="majorEastAsia" w:hAnsiTheme="majorHAnsi" w:cstheme="majorBidi"/>
                      <w:noProof/>
                      <w:color w:val="000000" w:themeColor="text1"/>
                      <w:spacing w:val="10"/>
                    </w:rPr>
                    <w:t>Fraktionserklärungen</w:t>
                  </w:r>
                </w:p>
              </w:tc>
              <w:tc>
                <w:tcPr>
                  <w:tcW w:w="847" w:type="dxa"/>
                </w:tcPr>
                <w:p w14:paraId="27E41A84" w14:textId="77777777" w:rsidR="006216BE" w:rsidRPr="006216BE" w:rsidRDefault="006216BE" w:rsidP="006216BE">
                  <w:pPr>
                    <w:spacing w:before="100" w:after="40"/>
                    <w:outlineLvl w:val="0"/>
                    <w:rPr>
                      <w:rFonts w:asciiTheme="majorHAnsi" w:eastAsiaTheme="majorEastAsia" w:hAnsiTheme="majorHAnsi" w:cstheme="majorBidi"/>
                      <w:noProof/>
                      <w:color w:val="000000" w:themeColor="text1"/>
                      <w:spacing w:val="10"/>
                    </w:rPr>
                  </w:pPr>
                  <w:r w:rsidRPr="006216BE">
                    <w:rPr>
                      <w:rFonts w:asciiTheme="majorHAnsi" w:eastAsiaTheme="majorEastAsia" w:hAnsiTheme="majorHAnsi" w:cstheme="majorBidi"/>
                      <w:noProof/>
                      <w:color w:val="000000" w:themeColor="text1"/>
                      <w:spacing w:val="10"/>
                    </w:rPr>
                    <w:t>3 Min.</w:t>
                  </w:r>
                </w:p>
              </w:tc>
            </w:tr>
            <w:tr w:rsidR="006216BE" w:rsidRPr="006216BE" w14:paraId="3C28EF9D" w14:textId="77777777" w:rsidTr="009347A4">
              <w:trPr>
                <w:trHeight w:val="507"/>
              </w:trPr>
              <w:tc>
                <w:tcPr>
                  <w:tcW w:w="338" w:type="dxa"/>
                </w:tcPr>
                <w:p w14:paraId="6C27F092" w14:textId="77777777" w:rsidR="006216BE" w:rsidRPr="006216BE" w:rsidRDefault="006216BE" w:rsidP="006216BE">
                  <w:pPr>
                    <w:spacing w:before="100" w:after="40"/>
                    <w:outlineLvl w:val="0"/>
                    <w:rPr>
                      <w:rFonts w:asciiTheme="majorHAnsi" w:eastAsiaTheme="majorEastAsia" w:hAnsiTheme="majorHAnsi" w:cstheme="majorBidi"/>
                      <w:noProof/>
                      <w:color w:val="000000" w:themeColor="text1"/>
                      <w:spacing w:val="10"/>
                    </w:rPr>
                  </w:pPr>
                  <w:r w:rsidRPr="006216BE">
                    <w:rPr>
                      <w:rFonts w:asciiTheme="majorHAnsi" w:eastAsiaTheme="majorEastAsia" w:hAnsiTheme="majorHAnsi" w:cstheme="majorBidi"/>
                      <w:noProof/>
                      <w:color w:val="000000" w:themeColor="text1"/>
                      <w:spacing w:val="10"/>
                    </w:rPr>
                    <w:t>3</w:t>
                  </w:r>
                </w:p>
              </w:tc>
              <w:tc>
                <w:tcPr>
                  <w:tcW w:w="3703" w:type="dxa"/>
                </w:tcPr>
                <w:p w14:paraId="5345148A" w14:textId="77777777" w:rsidR="006216BE" w:rsidRPr="006216BE" w:rsidRDefault="006216BE" w:rsidP="006216BE">
                  <w:pPr>
                    <w:spacing w:before="100" w:after="40"/>
                    <w:outlineLvl w:val="0"/>
                    <w:rPr>
                      <w:rFonts w:asciiTheme="majorHAnsi" w:eastAsiaTheme="majorEastAsia" w:hAnsiTheme="majorHAnsi" w:cstheme="majorBidi"/>
                      <w:noProof/>
                      <w:color w:val="000000" w:themeColor="text1"/>
                      <w:spacing w:val="10"/>
                    </w:rPr>
                  </w:pPr>
                  <w:r w:rsidRPr="006216BE">
                    <w:rPr>
                      <w:rFonts w:asciiTheme="majorHAnsi" w:eastAsiaTheme="majorEastAsia" w:hAnsiTheme="majorHAnsi" w:cstheme="majorBidi"/>
                      <w:noProof/>
                      <w:color w:val="000000" w:themeColor="text1"/>
                      <w:spacing w:val="10"/>
                    </w:rPr>
                    <w:t>Einzelvoten</w:t>
                  </w:r>
                </w:p>
              </w:tc>
              <w:tc>
                <w:tcPr>
                  <w:tcW w:w="847" w:type="dxa"/>
                </w:tcPr>
                <w:p w14:paraId="1C31C395" w14:textId="77777777" w:rsidR="006216BE" w:rsidRPr="006216BE" w:rsidRDefault="006216BE" w:rsidP="006216BE">
                  <w:pPr>
                    <w:spacing w:before="100" w:after="40"/>
                    <w:outlineLvl w:val="0"/>
                    <w:rPr>
                      <w:rFonts w:asciiTheme="majorHAnsi" w:eastAsiaTheme="majorEastAsia" w:hAnsiTheme="majorHAnsi" w:cstheme="majorBidi"/>
                      <w:noProof/>
                      <w:color w:val="000000" w:themeColor="text1"/>
                      <w:spacing w:val="10"/>
                    </w:rPr>
                  </w:pPr>
                  <w:r w:rsidRPr="006216BE">
                    <w:rPr>
                      <w:rFonts w:asciiTheme="majorHAnsi" w:eastAsiaTheme="majorEastAsia" w:hAnsiTheme="majorHAnsi" w:cstheme="majorBidi"/>
                      <w:noProof/>
                      <w:color w:val="000000" w:themeColor="text1"/>
                      <w:spacing w:val="10"/>
                    </w:rPr>
                    <w:t>1 Min.</w:t>
                  </w:r>
                </w:p>
              </w:tc>
            </w:tr>
            <w:tr w:rsidR="006216BE" w:rsidRPr="006216BE" w14:paraId="38C16101" w14:textId="77777777" w:rsidTr="009347A4">
              <w:trPr>
                <w:trHeight w:val="515"/>
              </w:trPr>
              <w:tc>
                <w:tcPr>
                  <w:tcW w:w="338" w:type="dxa"/>
                </w:tcPr>
                <w:p w14:paraId="097D34A1" w14:textId="77777777" w:rsidR="006216BE" w:rsidRPr="006216BE" w:rsidRDefault="006216BE" w:rsidP="006216BE">
                  <w:pPr>
                    <w:spacing w:before="100" w:after="40"/>
                    <w:outlineLvl w:val="0"/>
                    <w:rPr>
                      <w:rFonts w:asciiTheme="majorHAnsi" w:eastAsiaTheme="majorEastAsia" w:hAnsiTheme="majorHAnsi" w:cstheme="majorBidi"/>
                      <w:noProof/>
                      <w:color w:val="000000" w:themeColor="text1"/>
                      <w:spacing w:val="10"/>
                    </w:rPr>
                  </w:pPr>
                  <w:r w:rsidRPr="006216BE">
                    <w:rPr>
                      <w:rFonts w:asciiTheme="majorHAnsi" w:eastAsiaTheme="majorEastAsia" w:hAnsiTheme="majorHAnsi" w:cstheme="majorBidi"/>
                      <w:noProof/>
                      <w:color w:val="000000" w:themeColor="text1"/>
                      <w:spacing w:val="10"/>
                    </w:rPr>
                    <w:t>4</w:t>
                  </w:r>
                </w:p>
              </w:tc>
              <w:tc>
                <w:tcPr>
                  <w:tcW w:w="3703" w:type="dxa"/>
                </w:tcPr>
                <w:p w14:paraId="2358A8C1" w14:textId="77777777" w:rsidR="006216BE" w:rsidRPr="006216BE" w:rsidRDefault="006216BE" w:rsidP="006216BE">
                  <w:pPr>
                    <w:spacing w:before="100" w:after="40"/>
                    <w:outlineLvl w:val="0"/>
                    <w:rPr>
                      <w:rFonts w:asciiTheme="majorHAnsi" w:eastAsiaTheme="majorEastAsia" w:hAnsiTheme="majorHAnsi" w:cstheme="majorBidi"/>
                      <w:noProof/>
                      <w:color w:val="000000" w:themeColor="text1"/>
                      <w:spacing w:val="10"/>
                    </w:rPr>
                  </w:pPr>
                  <w:r w:rsidRPr="006216BE">
                    <w:rPr>
                      <w:rFonts w:asciiTheme="majorHAnsi" w:eastAsiaTheme="majorEastAsia" w:hAnsiTheme="majorHAnsi" w:cstheme="majorBidi"/>
                      <w:noProof/>
                      <w:color w:val="000000" w:themeColor="text1"/>
                      <w:spacing w:val="10"/>
                    </w:rPr>
                    <w:t>Gemeinderat</w:t>
                  </w:r>
                </w:p>
              </w:tc>
              <w:tc>
                <w:tcPr>
                  <w:tcW w:w="847" w:type="dxa"/>
                </w:tcPr>
                <w:p w14:paraId="1B4ECAA8" w14:textId="77777777" w:rsidR="006216BE" w:rsidRPr="006216BE" w:rsidRDefault="006216BE" w:rsidP="006216BE">
                  <w:pPr>
                    <w:spacing w:before="100" w:after="40"/>
                    <w:outlineLvl w:val="0"/>
                    <w:rPr>
                      <w:rFonts w:asciiTheme="majorHAnsi" w:eastAsiaTheme="majorEastAsia" w:hAnsiTheme="majorHAnsi" w:cstheme="majorBidi"/>
                      <w:noProof/>
                      <w:color w:val="000000" w:themeColor="text1"/>
                      <w:spacing w:val="10"/>
                    </w:rPr>
                  </w:pPr>
                  <w:r w:rsidRPr="006216BE">
                    <w:rPr>
                      <w:rFonts w:asciiTheme="majorHAnsi" w:eastAsiaTheme="majorEastAsia" w:hAnsiTheme="majorHAnsi" w:cstheme="majorBidi"/>
                      <w:noProof/>
                      <w:color w:val="000000" w:themeColor="text1"/>
                      <w:spacing w:val="10"/>
                    </w:rPr>
                    <w:t>3 Min.</w:t>
                  </w:r>
                </w:p>
              </w:tc>
            </w:tr>
            <w:tr w:rsidR="006216BE" w:rsidRPr="006216BE" w14:paraId="15629AAB" w14:textId="77777777" w:rsidTr="009347A4">
              <w:trPr>
                <w:trHeight w:val="278"/>
              </w:trPr>
              <w:tc>
                <w:tcPr>
                  <w:tcW w:w="4041" w:type="dxa"/>
                  <w:gridSpan w:val="2"/>
                </w:tcPr>
                <w:p w14:paraId="6DB33243" w14:textId="52CECA89" w:rsidR="006216BE" w:rsidRPr="006216BE" w:rsidRDefault="006216BE" w:rsidP="006216BE">
                  <w:pPr>
                    <w:spacing w:before="100" w:after="40"/>
                    <w:outlineLvl w:val="0"/>
                    <w:rPr>
                      <w:rFonts w:asciiTheme="majorHAnsi" w:eastAsiaTheme="majorEastAsia" w:hAnsiTheme="majorHAnsi" w:cstheme="majorBidi"/>
                      <w:color w:val="D50029" w:themeColor="accent1"/>
                      <w:spacing w:val="10"/>
                    </w:rPr>
                  </w:pPr>
                  <w:r w:rsidRPr="006216BE">
                    <w:rPr>
                      <w:rFonts w:asciiTheme="majorHAnsi" w:eastAsiaTheme="majorEastAsia" w:hAnsiTheme="majorHAnsi" w:cstheme="majorBidi"/>
                      <w:color w:val="D50029" w:themeColor="accent1"/>
                      <w:spacing w:val="10"/>
                    </w:rPr>
                    <w:t>ABSTIMMUN</w:t>
                  </w:r>
                  <w:r w:rsidR="00241356">
                    <w:rPr>
                      <w:rFonts w:asciiTheme="majorHAnsi" w:eastAsiaTheme="majorEastAsia" w:hAnsiTheme="majorHAnsi" w:cstheme="majorBidi"/>
                      <w:color w:val="D50029" w:themeColor="accent1"/>
                      <w:spacing w:val="10"/>
                    </w:rPr>
                    <w:t>G</w:t>
                  </w:r>
                </w:p>
              </w:tc>
              <w:tc>
                <w:tcPr>
                  <w:tcW w:w="847" w:type="dxa"/>
                </w:tcPr>
                <w:p w14:paraId="0E9C1873" w14:textId="77777777" w:rsidR="006216BE" w:rsidRPr="006216BE" w:rsidRDefault="006216BE" w:rsidP="006216BE">
                  <w:pPr>
                    <w:spacing w:before="100" w:after="40"/>
                    <w:outlineLvl w:val="0"/>
                    <w:rPr>
                      <w:rFonts w:asciiTheme="majorHAnsi" w:eastAsiaTheme="majorEastAsia" w:hAnsiTheme="majorHAnsi" w:cstheme="majorBidi"/>
                      <w:noProof/>
                      <w:color w:val="000000" w:themeColor="text1"/>
                      <w:spacing w:val="10"/>
                    </w:rPr>
                  </w:pPr>
                </w:p>
              </w:tc>
            </w:tr>
            <w:tr w:rsidR="006216BE" w:rsidRPr="006216BE" w14:paraId="1043A5CF" w14:textId="77777777" w:rsidTr="009347A4">
              <w:trPr>
                <w:trHeight w:val="465"/>
              </w:trPr>
              <w:tc>
                <w:tcPr>
                  <w:tcW w:w="4041" w:type="dxa"/>
                  <w:gridSpan w:val="2"/>
                </w:tcPr>
                <w:p w14:paraId="02D45004" w14:textId="5D276196" w:rsidR="006216BE" w:rsidRPr="006216BE" w:rsidRDefault="006216BE" w:rsidP="006216BE">
                  <w:pPr>
                    <w:spacing w:before="100" w:after="40"/>
                    <w:outlineLvl w:val="0"/>
                    <w:rPr>
                      <w:rFonts w:asciiTheme="majorHAnsi" w:eastAsiaTheme="majorEastAsia" w:hAnsiTheme="majorHAnsi" w:cstheme="majorBidi"/>
                      <w:noProof/>
                      <w:color w:val="000000" w:themeColor="text1"/>
                      <w:spacing w:val="10"/>
                    </w:rPr>
                  </w:pPr>
                </w:p>
              </w:tc>
              <w:tc>
                <w:tcPr>
                  <w:tcW w:w="847" w:type="dxa"/>
                </w:tcPr>
                <w:p w14:paraId="260E5E48" w14:textId="77777777" w:rsidR="006216BE" w:rsidRPr="006216BE" w:rsidRDefault="006216BE" w:rsidP="006216BE">
                  <w:pPr>
                    <w:spacing w:before="100" w:after="40"/>
                    <w:outlineLvl w:val="0"/>
                    <w:rPr>
                      <w:rFonts w:asciiTheme="majorHAnsi" w:eastAsiaTheme="majorEastAsia" w:hAnsiTheme="majorHAnsi" w:cstheme="majorBidi"/>
                      <w:noProof/>
                      <w:color w:val="000000" w:themeColor="text1"/>
                      <w:spacing w:val="10"/>
                    </w:rPr>
                  </w:pPr>
                </w:p>
              </w:tc>
            </w:tr>
          </w:tbl>
          <w:p w14:paraId="0E3CC2C8" w14:textId="77777777" w:rsidR="006216BE" w:rsidRPr="006216BE" w:rsidRDefault="006216BE" w:rsidP="006216BE">
            <w:pPr>
              <w:rPr>
                <w:rFonts w:ascii="Arial" w:hAnsi="Arial"/>
              </w:rPr>
            </w:pPr>
          </w:p>
        </w:tc>
        <w:tc>
          <w:tcPr>
            <w:tcW w:w="1973" w:type="pct"/>
            <w:tcBorders>
              <w:top w:val="single" w:sz="4" w:space="0" w:color="auto"/>
              <w:left w:val="single" w:sz="4" w:space="0" w:color="auto"/>
              <w:bottom w:val="single" w:sz="4" w:space="0" w:color="auto"/>
              <w:right w:val="single" w:sz="4" w:space="0" w:color="auto"/>
            </w:tcBorders>
          </w:tcPr>
          <w:p w14:paraId="4C091832" w14:textId="77777777" w:rsidR="006216BE" w:rsidRPr="006216BE" w:rsidRDefault="006216BE" w:rsidP="006216BE">
            <w:pPr>
              <w:rPr>
                <w:rFonts w:ascii="Arial" w:hAnsi="Arial"/>
              </w:rPr>
            </w:pPr>
            <w:r w:rsidRPr="006216BE">
              <w:rPr>
                <w:rFonts w:ascii="Arial" w:hAnsi="Arial"/>
              </w:rPr>
              <w:t xml:space="preserve">Art. 53a </w:t>
            </w:r>
            <w:proofErr w:type="gramStart"/>
            <w:r w:rsidRPr="006216BE">
              <w:rPr>
                <w:rFonts w:ascii="Arial" w:hAnsi="Arial"/>
              </w:rPr>
              <w:t>GRSR Redezeit</w:t>
            </w:r>
            <w:proofErr w:type="gramEnd"/>
          </w:p>
          <w:p w14:paraId="13F21015" w14:textId="77777777" w:rsidR="006216BE" w:rsidRPr="006216BE" w:rsidRDefault="006216BE" w:rsidP="006216BE">
            <w:pPr>
              <w:rPr>
                <w:rFonts w:ascii="Arial" w:hAnsi="Arial"/>
              </w:rPr>
            </w:pPr>
            <w:r w:rsidRPr="006216BE">
              <w:rPr>
                <w:rFonts w:ascii="Arial" w:hAnsi="Arial"/>
              </w:rPr>
              <w:t>[…]</w:t>
            </w:r>
          </w:p>
          <w:p w14:paraId="485FA7E8" w14:textId="77777777" w:rsidR="006216BE" w:rsidRPr="006216BE" w:rsidRDefault="006216BE" w:rsidP="006216BE">
            <w:pPr>
              <w:rPr>
                <w:rFonts w:ascii="Arial" w:hAnsi="Arial"/>
              </w:rPr>
            </w:pPr>
            <w:r w:rsidRPr="006216BE">
              <w:rPr>
                <w:rFonts w:ascii="Arial" w:hAnsi="Arial"/>
                <w:vertAlign w:val="superscript"/>
              </w:rPr>
              <w:t>6</w:t>
            </w:r>
            <w:r w:rsidRPr="006216BE">
              <w:rPr>
                <w:rFonts w:ascii="Arial" w:hAnsi="Arial"/>
              </w:rPr>
              <w:t xml:space="preserve"> Auf Antrag des Büros des Stadtrats oder einer Fraktion kann der Stadtrat die Redezeit verlängern oder herabsetzen. Über einen solchen Antrag muss vor Beginn des betreffenden Teils der Debatte wie Eintreten, Rückweisung oder Detailberatung befunden werden.</w:t>
            </w:r>
          </w:p>
          <w:p w14:paraId="18B9448D" w14:textId="77777777" w:rsidR="006216BE" w:rsidRPr="006216BE" w:rsidRDefault="006216BE" w:rsidP="006216BE">
            <w:pPr>
              <w:rPr>
                <w:rFonts w:ascii="Arial" w:hAnsi="Arial"/>
              </w:rPr>
            </w:pPr>
            <w:r w:rsidRPr="006216BE">
              <w:rPr>
                <w:rFonts w:ascii="Arial" w:hAnsi="Arial"/>
              </w:rPr>
              <w:t>[…]</w:t>
            </w:r>
          </w:p>
        </w:tc>
      </w:tr>
    </w:tbl>
    <w:p w14:paraId="469186BD" w14:textId="767CA5E9" w:rsidR="00AA05F6" w:rsidRDefault="00AA05F6" w:rsidP="00AA05F6">
      <w:pPr>
        <w:pStyle w:val="berschrift3"/>
      </w:pPr>
      <w:r>
        <w:lastRenderedPageBreak/>
        <w:t xml:space="preserve">Traktandum </w:t>
      </w:r>
      <w:r w:rsidR="00F55794">
        <w:t>2</w:t>
      </w:r>
      <w:r>
        <w:t xml:space="preserve">: </w:t>
      </w:r>
      <w:r w:rsidR="00F55794" w:rsidRPr="00F55794">
        <w:t xml:space="preserve">Regionales öffentliches Veloverleihsystem 2026+: Realisierungskredit (Investitions- und Verpflichtungskredit) (Abstimmungsbotschaft) </w:t>
      </w:r>
      <w:r>
        <w:t>(</w:t>
      </w:r>
      <w:r>
        <w:rPr>
          <w:rFonts w:cstheme="majorHAnsi"/>
        </w:rPr>
        <w:t>20</w:t>
      </w:r>
      <w:r w:rsidR="00F55794">
        <w:rPr>
          <w:rFonts w:cstheme="majorHAnsi"/>
        </w:rPr>
        <w:t>14.TVS.000217)</w:t>
      </w:r>
    </w:p>
    <w:tbl>
      <w:tblPr>
        <w:tblStyle w:val="Tabellenraster"/>
        <w:tblW w:w="5000" w:type="pct"/>
        <w:tblLook w:val="04A0" w:firstRow="1" w:lastRow="0" w:firstColumn="1" w:lastColumn="0" w:noHBand="0" w:noVBand="1"/>
      </w:tblPr>
      <w:tblGrid>
        <w:gridCol w:w="676"/>
        <w:gridCol w:w="2259"/>
        <w:gridCol w:w="5245"/>
        <w:gridCol w:w="5331"/>
      </w:tblGrid>
      <w:tr w:rsidR="00795CAB" w14:paraId="2FBFBDA8" w14:textId="77777777" w:rsidTr="00F55794">
        <w:trPr>
          <w:tblHeader/>
        </w:trPr>
        <w:tc>
          <w:tcPr>
            <w:tcW w:w="250" w:type="pct"/>
            <w:tcBorders>
              <w:top w:val="single" w:sz="4" w:space="0" w:color="auto"/>
              <w:left w:val="single" w:sz="4" w:space="0" w:color="auto"/>
              <w:bottom w:val="single" w:sz="4" w:space="0" w:color="auto"/>
              <w:right w:val="single" w:sz="4" w:space="0" w:color="auto"/>
            </w:tcBorders>
            <w:hideMark/>
          </w:tcPr>
          <w:p w14:paraId="57EACEF6" w14:textId="77777777" w:rsidR="00795CAB" w:rsidRDefault="00795CAB" w:rsidP="00D7799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6128616" w14:textId="77777777" w:rsidR="00795CAB" w:rsidRDefault="00795CAB" w:rsidP="00D7799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FAEE836" w14:textId="77777777" w:rsidR="00795CAB" w:rsidRDefault="00795CAB" w:rsidP="00D77991">
            <w:pPr>
              <w:pStyle w:val="berschrift3"/>
            </w:pPr>
            <w:r>
              <w:t>Antrag</w:t>
            </w:r>
          </w:p>
          <w:p w14:paraId="240F40E0" w14:textId="77777777" w:rsidR="00795CAB" w:rsidRDefault="00795CAB" w:rsidP="00D77991"/>
        </w:tc>
        <w:tc>
          <w:tcPr>
            <w:tcW w:w="1973" w:type="pct"/>
            <w:tcBorders>
              <w:top w:val="single" w:sz="4" w:space="0" w:color="auto"/>
              <w:left w:val="single" w:sz="4" w:space="0" w:color="auto"/>
              <w:bottom w:val="single" w:sz="4" w:space="0" w:color="auto"/>
              <w:right w:val="single" w:sz="4" w:space="0" w:color="auto"/>
            </w:tcBorders>
            <w:hideMark/>
          </w:tcPr>
          <w:p w14:paraId="7838A285" w14:textId="77777777" w:rsidR="00795CAB" w:rsidRDefault="00795CAB" w:rsidP="00D77991">
            <w:pPr>
              <w:pStyle w:val="berschrift3"/>
            </w:pPr>
            <w:r>
              <w:t>Begründung</w:t>
            </w:r>
          </w:p>
        </w:tc>
      </w:tr>
      <w:tr w:rsidR="00F55794" w:rsidRPr="0035578B" w14:paraId="08CE4058" w14:textId="77777777" w:rsidTr="00F55794">
        <w:tc>
          <w:tcPr>
            <w:tcW w:w="250" w:type="pct"/>
          </w:tcPr>
          <w:p w14:paraId="11DC9BCF" w14:textId="77777777" w:rsidR="00F55794" w:rsidRDefault="00F55794" w:rsidP="00F55794">
            <w:pPr>
              <w:pStyle w:val="Listenabsatz"/>
              <w:numPr>
                <w:ilvl w:val="0"/>
                <w:numId w:val="8"/>
              </w:numPr>
            </w:pPr>
          </w:p>
        </w:tc>
        <w:tc>
          <w:tcPr>
            <w:tcW w:w="836" w:type="pct"/>
          </w:tcPr>
          <w:p w14:paraId="575221AD" w14:textId="77777777" w:rsidR="00F55794" w:rsidRPr="0035578B" w:rsidRDefault="00F55794" w:rsidP="009347A4">
            <w:r>
              <w:t>PVS</w:t>
            </w:r>
          </w:p>
        </w:tc>
        <w:tc>
          <w:tcPr>
            <w:tcW w:w="1941" w:type="pct"/>
          </w:tcPr>
          <w:p w14:paraId="04E2BCA6" w14:textId="77777777" w:rsidR="00F55794" w:rsidRPr="0035578B" w:rsidRDefault="00F55794" w:rsidP="009347A4">
            <w:r w:rsidRPr="0035578B">
              <w:t>Die Fachstelle Mobilitätsberatung des Amtes für Umweltschutz wird in Kooperation mit dem Wirtschaftsamt der Stadt Bern beauftragt, Unternehmen aktiv auf die Möglichkeit zur Nutzung von Unternehmensabonnements im Rahmen des Veloverleihsystems aufmerksam zu machen</w:t>
            </w:r>
            <w:r>
              <w:t>.</w:t>
            </w:r>
          </w:p>
        </w:tc>
        <w:tc>
          <w:tcPr>
            <w:tcW w:w="1973" w:type="pct"/>
          </w:tcPr>
          <w:p w14:paraId="096BD4C5" w14:textId="4B99CA23" w:rsidR="00F55794" w:rsidRPr="0035578B" w:rsidRDefault="00F55794" w:rsidP="009347A4">
            <w:r w:rsidRPr="0035578B">
              <w:t>Aktuelle Statistiken belegen, dass Unternehmens</w:t>
            </w:r>
            <w:r w:rsidR="006216BE">
              <w:t>-</w:t>
            </w:r>
            <w:r w:rsidRPr="0035578B">
              <w:t>abonnemen</w:t>
            </w:r>
            <w:r w:rsidR="006216BE">
              <w:t>t</w:t>
            </w:r>
            <w:r w:rsidRPr="0035578B">
              <w:t>s einen bedeutenden Anteil an der Nutzung des Veloverleihsystems ausmachen. Eine breitere Beteiligung von Unternehmen an diesem Angebot würde nicht nur die Nutzung weiter steigern, sondern auch zusätzliche Einnahmen generieren, da sich die Unternehmen an den Kosten beteiligen. Um die Attraktivität des Veloverleihsystems in der Stadt Bern zu maximieren, ist es daher sinnvoll, Unternehmen gezielt für diese Abonnements zu gewinnen</w:t>
            </w:r>
            <w:r w:rsidR="004E23B3">
              <w:t>.</w:t>
            </w:r>
          </w:p>
        </w:tc>
      </w:tr>
      <w:tr w:rsidR="00F55794" w14:paraId="217275F7" w14:textId="77777777" w:rsidTr="00F55794">
        <w:tc>
          <w:tcPr>
            <w:tcW w:w="250" w:type="pct"/>
          </w:tcPr>
          <w:p w14:paraId="6B871AFA" w14:textId="77777777" w:rsidR="00F55794" w:rsidRPr="0035578B" w:rsidRDefault="00F55794" w:rsidP="00F55794">
            <w:pPr>
              <w:pStyle w:val="Listenabsatz"/>
              <w:numPr>
                <w:ilvl w:val="0"/>
                <w:numId w:val="8"/>
              </w:numPr>
            </w:pPr>
          </w:p>
        </w:tc>
        <w:tc>
          <w:tcPr>
            <w:tcW w:w="836" w:type="pct"/>
          </w:tcPr>
          <w:p w14:paraId="3922CCB3" w14:textId="77777777" w:rsidR="00F55794" w:rsidRPr="00B02B5C" w:rsidRDefault="00F55794" w:rsidP="009347A4">
            <w:pPr>
              <w:rPr>
                <w:lang w:val="it-CH"/>
              </w:rPr>
            </w:pPr>
            <w:r>
              <w:rPr>
                <w:lang w:val="it-CH"/>
              </w:rPr>
              <w:t>PVS</w:t>
            </w:r>
          </w:p>
        </w:tc>
        <w:tc>
          <w:tcPr>
            <w:tcW w:w="1941" w:type="pct"/>
          </w:tcPr>
          <w:p w14:paraId="0713CDD1" w14:textId="77777777" w:rsidR="00F55794" w:rsidRDefault="00F55794" w:rsidP="009347A4">
            <w:r w:rsidRPr="00B02B5C">
              <w:t>Die Einführung eine</w:t>
            </w:r>
            <w:r>
              <w:t>s</w:t>
            </w:r>
            <w:r w:rsidRPr="00B02B5C">
              <w:t xml:space="preserve"> neuen Ausleihstandort</w:t>
            </w:r>
            <w:r>
              <w:t>s</w:t>
            </w:r>
            <w:r w:rsidRPr="00B02B5C">
              <w:t xml:space="preserve"> «Velo Region Bern» bei der Kreuzung </w:t>
            </w:r>
            <w:proofErr w:type="spellStart"/>
            <w:r w:rsidRPr="00B02B5C">
              <w:t>Hubelmattstrasse</w:t>
            </w:r>
            <w:proofErr w:type="spellEnd"/>
            <w:r>
              <w:t xml:space="preserve"> </w:t>
            </w:r>
            <w:r w:rsidRPr="00B02B5C">
              <w:t>/</w:t>
            </w:r>
            <w:r>
              <w:t xml:space="preserve"> </w:t>
            </w:r>
            <w:r w:rsidRPr="00B02B5C">
              <w:t xml:space="preserve">Weissensteinstrasse (oder an einem anderen geeigneten Standort im Perimeter </w:t>
            </w:r>
            <w:proofErr w:type="spellStart"/>
            <w:r w:rsidRPr="00B02B5C">
              <w:t>Munzingerschulhaus</w:t>
            </w:r>
            <w:proofErr w:type="spellEnd"/>
            <w:r w:rsidRPr="00B02B5C">
              <w:t>) ist zu prüfen.</w:t>
            </w:r>
          </w:p>
        </w:tc>
        <w:tc>
          <w:tcPr>
            <w:tcW w:w="1973" w:type="pct"/>
          </w:tcPr>
          <w:p w14:paraId="1DCB75CA" w14:textId="77777777" w:rsidR="00F55794" w:rsidRPr="00BD5156" w:rsidRDefault="00F55794" w:rsidP="009347A4">
            <w:r w:rsidRPr="00B02B5C">
              <w:t xml:space="preserve">Im Rahmen des Kredits Sanierung Tram </w:t>
            </w:r>
            <w:proofErr w:type="spellStart"/>
            <w:r w:rsidRPr="00B02B5C">
              <w:t>Fischermätteli</w:t>
            </w:r>
            <w:proofErr w:type="spellEnd"/>
            <w:r w:rsidRPr="00B02B5C">
              <w:t xml:space="preserve"> wird die Kreuzung </w:t>
            </w:r>
            <w:proofErr w:type="spellStart"/>
            <w:r w:rsidRPr="00B02B5C">
              <w:t>Hubelmattstrasse</w:t>
            </w:r>
            <w:proofErr w:type="spellEnd"/>
            <w:r w:rsidRPr="00B02B5C">
              <w:t xml:space="preserve"> / Weissensteinstrasse umgestaltet. Es soll gleichzeitig geprüft werden, ob sich der Standort als neues Angebot des Netzes Velo Region Bern eignet.</w:t>
            </w:r>
          </w:p>
        </w:tc>
      </w:tr>
      <w:tr w:rsidR="006F709D" w14:paraId="47583B75" w14:textId="77777777" w:rsidTr="00CC4A74">
        <w:tc>
          <w:tcPr>
            <w:tcW w:w="250" w:type="pct"/>
          </w:tcPr>
          <w:p w14:paraId="05C4481E" w14:textId="77777777" w:rsidR="006F709D" w:rsidRPr="0035578B" w:rsidRDefault="006F709D" w:rsidP="006F709D">
            <w:pPr>
              <w:pStyle w:val="Listenabsatz"/>
              <w:numPr>
                <w:ilvl w:val="0"/>
                <w:numId w:val="8"/>
              </w:numPr>
            </w:pPr>
          </w:p>
        </w:tc>
        <w:tc>
          <w:tcPr>
            <w:tcW w:w="836" w:type="pct"/>
            <w:tcBorders>
              <w:top w:val="single" w:sz="4" w:space="0" w:color="000000"/>
              <w:left w:val="single" w:sz="4" w:space="0" w:color="000000"/>
              <w:bottom w:val="single" w:sz="4" w:space="0" w:color="auto"/>
              <w:right w:val="single" w:sz="4" w:space="0" w:color="000000"/>
            </w:tcBorders>
          </w:tcPr>
          <w:p w14:paraId="560F64B7" w14:textId="734CC87F" w:rsidR="006F709D" w:rsidRDefault="006F709D" w:rsidP="006F709D">
            <w:pPr>
              <w:rPr>
                <w:lang w:val="it-CH"/>
              </w:rPr>
            </w:pPr>
            <w:r>
              <w:t>JA/JUSO</w:t>
            </w:r>
          </w:p>
        </w:tc>
        <w:tc>
          <w:tcPr>
            <w:tcW w:w="1941" w:type="pct"/>
            <w:tcBorders>
              <w:top w:val="single" w:sz="4" w:space="0" w:color="000000"/>
              <w:left w:val="single" w:sz="4" w:space="0" w:color="000000"/>
              <w:bottom w:val="single" w:sz="4" w:space="0" w:color="auto"/>
              <w:right w:val="single" w:sz="4" w:space="0" w:color="000000"/>
            </w:tcBorders>
          </w:tcPr>
          <w:p w14:paraId="279794B4" w14:textId="160EA9B7" w:rsidR="006F709D" w:rsidRPr="00B02B5C" w:rsidRDefault="006F709D" w:rsidP="00CC4A74">
            <w:pPr>
              <w:spacing w:after="240"/>
            </w:pPr>
            <w:r>
              <w:t xml:space="preserve">Im Jahresabo B-Fit </w:t>
            </w:r>
            <w:proofErr w:type="spellStart"/>
            <w:r>
              <w:t>Bärn</w:t>
            </w:r>
            <w:proofErr w:type="spellEnd"/>
            <w:r>
              <w:t xml:space="preserve"> sind auch die ersten 15 Minuten einer E-Bike-Fahrt gratis.</w:t>
            </w:r>
          </w:p>
        </w:tc>
        <w:tc>
          <w:tcPr>
            <w:tcW w:w="1973" w:type="pct"/>
            <w:tcBorders>
              <w:top w:val="single" w:sz="4" w:space="0" w:color="000000"/>
              <w:left w:val="single" w:sz="4" w:space="0" w:color="000000"/>
              <w:bottom w:val="single" w:sz="4" w:space="0" w:color="auto"/>
              <w:right w:val="single" w:sz="4" w:space="0" w:color="000000"/>
            </w:tcBorders>
          </w:tcPr>
          <w:p w14:paraId="7D307728" w14:textId="412E4977" w:rsidR="006F709D" w:rsidRPr="00B02B5C" w:rsidRDefault="006F709D" w:rsidP="006F709D">
            <w:r>
              <w:t xml:space="preserve">Mobilität heisst auch Teilhabe. Für Menschen, die sich die zusätzlichen Nutzungskosten für E-Bikes zum Abo-Preis nicht leisten können, ist der Zugang zum Veloverleihsystem nur ungleich möglich. Dies insbesondere, wenn der Gesamtdienstleister plant, den Anteil der mechanischen Fahrräder an der Veloflotte zu reduzieren. Um eine faire und sozial gerechte Nutzung zu gewährleisten, sollen im Jahresabo B-Fit </w:t>
            </w:r>
            <w:proofErr w:type="spellStart"/>
            <w:r>
              <w:t>Bärn</w:t>
            </w:r>
            <w:proofErr w:type="spellEnd"/>
            <w:r>
              <w:t xml:space="preserve"> auch die ersten 15 Minuten einer E-Bike-Fahrt gratis sein.</w:t>
            </w:r>
          </w:p>
        </w:tc>
      </w:tr>
      <w:tr w:rsidR="006F709D" w14:paraId="1E976F19" w14:textId="77777777" w:rsidTr="00CC4A74">
        <w:tc>
          <w:tcPr>
            <w:tcW w:w="250" w:type="pct"/>
          </w:tcPr>
          <w:p w14:paraId="4606BB93" w14:textId="77777777" w:rsidR="006F709D" w:rsidRPr="0035578B" w:rsidRDefault="006F709D" w:rsidP="006F709D">
            <w:pPr>
              <w:pStyle w:val="Listenabsatz"/>
              <w:numPr>
                <w:ilvl w:val="0"/>
                <w:numId w:val="8"/>
              </w:numPr>
            </w:pPr>
          </w:p>
        </w:tc>
        <w:tc>
          <w:tcPr>
            <w:tcW w:w="836" w:type="pct"/>
            <w:tcBorders>
              <w:top w:val="single" w:sz="4" w:space="0" w:color="000000"/>
              <w:left w:val="single" w:sz="4" w:space="0" w:color="000000"/>
              <w:bottom w:val="single" w:sz="4" w:space="0" w:color="auto"/>
              <w:right w:val="single" w:sz="4" w:space="0" w:color="000000"/>
            </w:tcBorders>
          </w:tcPr>
          <w:p w14:paraId="0B56E2D4" w14:textId="65AE04B5" w:rsidR="006F709D" w:rsidRDefault="006F709D" w:rsidP="006F709D">
            <w:pPr>
              <w:rPr>
                <w:lang w:val="it-CH"/>
              </w:rPr>
            </w:pPr>
            <w:r>
              <w:t>JUSO/JA</w:t>
            </w:r>
          </w:p>
        </w:tc>
        <w:tc>
          <w:tcPr>
            <w:tcW w:w="1941" w:type="pct"/>
            <w:tcBorders>
              <w:top w:val="single" w:sz="4" w:space="0" w:color="000000"/>
              <w:left w:val="single" w:sz="4" w:space="0" w:color="000000"/>
              <w:bottom w:val="single" w:sz="4" w:space="0" w:color="auto"/>
              <w:right w:val="single" w:sz="4" w:space="0" w:color="000000"/>
            </w:tcBorders>
          </w:tcPr>
          <w:p w14:paraId="1F488C20" w14:textId="54E3F745" w:rsidR="006F709D" w:rsidRPr="00B02B5C" w:rsidRDefault="006F709D" w:rsidP="006F709D">
            <w:r w:rsidRPr="00420DE0">
              <w:t xml:space="preserve">Der Gemeinderat (Direktion für Tiefbau, Verkehr und Stadtgrün) soll im Hinblick auf die Einführung des Veloverleihsystems 2026+ prüfen, ob und wie unter Berücksichtigung der beschaffungsrechtlichen Vorgaben (keine Neuausschreibung) im Jahresabo B-Fit </w:t>
            </w:r>
            <w:proofErr w:type="spellStart"/>
            <w:r w:rsidRPr="00420DE0">
              <w:t>Bärn</w:t>
            </w:r>
            <w:proofErr w:type="spellEnd"/>
            <w:r w:rsidRPr="00420DE0">
              <w:t xml:space="preserve"> auch die ersten 15 Minuten einer E-Bike-Fahrt gratis angeboten werden können.</w:t>
            </w:r>
          </w:p>
        </w:tc>
        <w:tc>
          <w:tcPr>
            <w:tcW w:w="1973" w:type="pct"/>
            <w:tcBorders>
              <w:top w:val="single" w:sz="4" w:space="0" w:color="000000"/>
              <w:left w:val="single" w:sz="4" w:space="0" w:color="000000"/>
              <w:bottom w:val="single" w:sz="4" w:space="0" w:color="auto"/>
              <w:right w:val="single" w:sz="4" w:space="0" w:color="000000"/>
            </w:tcBorders>
          </w:tcPr>
          <w:p w14:paraId="3D346870" w14:textId="4891E8AF" w:rsidR="006F709D" w:rsidRPr="00B02B5C" w:rsidRDefault="006F709D" w:rsidP="006F709D">
            <w:r>
              <w:t xml:space="preserve">Mobilität heisst auch Teilhabe. Für Menschen, die sich die zusätzlichen Nutzungskosten für E-Bikes zum Abo-Preis nicht leisten können, ist der Zugang zum Veloverleihsystem nur ungleich möglich. Dies insbesondere, wenn der Gesamtdienstleister plant, den Anteil der mechanischen Fahrräder an der Veloflotte zu reduzieren. Um eine faire und sozial gerechte Nutzung zu gewährleisten, sollen im Jahresabo B-Fit </w:t>
            </w:r>
            <w:proofErr w:type="spellStart"/>
            <w:r>
              <w:t>Bärn</w:t>
            </w:r>
            <w:proofErr w:type="spellEnd"/>
            <w:r>
              <w:t xml:space="preserve"> auch die ersten 15 Minuten einer E-Bike-Fahrt gratis sein.</w:t>
            </w:r>
          </w:p>
        </w:tc>
      </w:tr>
      <w:tr w:rsidR="006F709D" w14:paraId="39E99922" w14:textId="77777777" w:rsidTr="00CC4A74">
        <w:tc>
          <w:tcPr>
            <w:tcW w:w="250" w:type="pct"/>
          </w:tcPr>
          <w:p w14:paraId="3C666AA5" w14:textId="77777777" w:rsidR="006F709D" w:rsidRPr="0035578B" w:rsidRDefault="006F709D" w:rsidP="006F709D">
            <w:pPr>
              <w:pStyle w:val="Listenabsatz"/>
              <w:numPr>
                <w:ilvl w:val="0"/>
                <w:numId w:val="8"/>
              </w:numPr>
            </w:pPr>
          </w:p>
        </w:tc>
        <w:tc>
          <w:tcPr>
            <w:tcW w:w="836" w:type="pct"/>
            <w:tcBorders>
              <w:top w:val="single" w:sz="4" w:space="0" w:color="auto"/>
              <w:left w:val="single" w:sz="4" w:space="0" w:color="000000"/>
              <w:bottom w:val="single" w:sz="4" w:space="0" w:color="auto"/>
              <w:right w:val="single" w:sz="4" w:space="0" w:color="000000"/>
            </w:tcBorders>
          </w:tcPr>
          <w:p w14:paraId="40161BED" w14:textId="20985A84" w:rsidR="006F709D" w:rsidRDefault="006F709D" w:rsidP="006F709D">
            <w:pPr>
              <w:rPr>
                <w:lang w:val="it-CH"/>
              </w:rPr>
            </w:pPr>
            <w:r>
              <w:t>JA/GB/JUSO</w:t>
            </w:r>
          </w:p>
        </w:tc>
        <w:tc>
          <w:tcPr>
            <w:tcW w:w="1941" w:type="pct"/>
            <w:tcBorders>
              <w:top w:val="single" w:sz="4" w:space="0" w:color="auto"/>
              <w:left w:val="single" w:sz="4" w:space="0" w:color="000000"/>
              <w:bottom w:val="single" w:sz="4" w:space="0" w:color="auto"/>
              <w:right w:val="single" w:sz="4" w:space="0" w:color="000000"/>
            </w:tcBorders>
          </w:tcPr>
          <w:p w14:paraId="2B3A20BA" w14:textId="0FD544BC" w:rsidR="006F709D" w:rsidRPr="00B02B5C" w:rsidRDefault="006F709D" w:rsidP="006F709D">
            <w:r>
              <w:t xml:space="preserve">Gemeinsam mit </w:t>
            </w:r>
            <w:proofErr w:type="spellStart"/>
            <w:r>
              <w:t>PubliBike</w:t>
            </w:r>
            <w:proofErr w:type="spellEnd"/>
            <w:r>
              <w:t xml:space="preserve"> sind die mechanischen Velos so umzugestalten, dass sie fahrtauglicher sind. </w:t>
            </w:r>
          </w:p>
        </w:tc>
        <w:tc>
          <w:tcPr>
            <w:tcW w:w="1973" w:type="pct"/>
            <w:tcBorders>
              <w:top w:val="single" w:sz="4" w:space="0" w:color="auto"/>
              <w:left w:val="single" w:sz="4" w:space="0" w:color="000000"/>
              <w:bottom w:val="single" w:sz="4" w:space="0" w:color="auto"/>
              <w:right w:val="single" w:sz="4" w:space="0" w:color="000000"/>
            </w:tcBorders>
          </w:tcPr>
          <w:p w14:paraId="700639F0" w14:textId="03BA9E6B" w:rsidR="006F709D" w:rsidRPr="00B02B5C" w:rsidRDefault="006F709D" w:rsidP="006F709D">
            <w:r>
              <w:t>Die mechanischen Velos sind zu schwer und so nicht fahrtauglich. Dies verleitet viele Menschen dazu, ein E-Bike zu nehmen. Deshalb sollen die mechanischen Velos entsprechend fahrtauglicher gestaltet werden, dass mehr mechanische Fahrräder genutzt werden.</w:t>
            </w:r>
          </w:p>
        </w:tc>
      </w:tr>
      <w:tr w:rsidR="006F709D" w14:paraId="2BF81DBF" w14:textId="77777777" w:rsidTr="00CC4A74">
        <w:tc>
          <w:tcPr>
            <w:tcW w:w="250" w:type="pct"/>
          </w:tcPr>
          <w:p w14:paraId="5CDDF932" w14:textId="77777777" w:rsidR="006F709D" w:rsidRPr="0035578B" w:rsidRDefault="006F709D" w:rsidP="006F709D">
            <w:pPr>
              <w:pStyle w:val="Listenabsatz"/>
              <w:numPr>
                <w:ilvl w:val="0"/>
                <w:numId w:val="8"/>
              </w:numPr>
            </w:pPr>
          </w:p>
        </w:tc>
        <w:tc>
          <w:tcPr>
            <w:tcW w:w="836" w:type="pct"/>
            <w:tcBorders>
              <w:top w:val="single" w:sz="4" w:space="0" w:color="auto"/>
              <w:left w:val="single" w:sz="4" w:space="0" w:color="000000"/>
              <w:bottom w:val="single" w:sz="4" w:space="0" w:color="000000"/>
              <w:right w:val="single" w:sz="4" w:space="0" w:color="000000"/>
            </w:tcBorders>
          </w:tcPr>
          <w:p w14:paraId="4AADD060" w14:textId="3FAB9DCC" w:rsidR="006F709D" w:rsidRDefault="006F709D" w:rsidP="006F709D">
            <w:pPr>
              <w:rPr>
                <w:lang w:val="it-CH"/>
              </w:rPr>
            </w:pPr>
            <w:r>
              <w:t>JA/GB/JUSO</w:t>
            </w:r>
          </w:p>
        </w:tc>
        <w:tc>
          <w:tcPr>
            <w:tcW w:w="1941" w:type="pct"/>
            <w:tcBorders>
              <w:top w:val="single" w:sz="4" w:space="0" w:color="auto"/>
              <w:left w:val="single" w:sz="4" w:space="0" w:color="000000"/>
              <w:bottom w:val="single" w:sz="4" w:space="0" w:color="000000"/>
              <w:right w:val="single" w:sz="4" w:space="0" w:color="000000"/>
            </w:tcBorders>
          </w:tcPr>
          <w:p w14:paraId="091FCB38" w14:textId="185E322E" w:rsidR="006F709D" w:rsidRPr="00B02B5C" w:rsidRDefault="006F709D" w:rsidP="006F709D">
            <w:r>
              <w:t>50% der Veloflotte sind mechanische Fahrräder.</w:t>
            </w:r>
          </w:p>
        </w:tc>
        <w:tc>
          <w:tcPr>
            <w:tcW w:w="1973" w:type="pct"/>
            <w:tcBorders>
              <w:top w:val="single" w:sz="4" w:space="0" w:color="auto"/>
              <w:left w:val="single" w:sz="4" w:space="0" w:color="000000"/>
              <w:bottom w:val="single" w:sz="4" w:space="0" w:color="000000"/>
              <w:right w:val="single" w:sz="4" w:space="0" w:color="000000"/>
            </w:tcBorders>
          </w:tcPr>
          <w:p w14:paraId="23C3DCBE" w14:textId="14CB4B43" w:rsidR="006F709D" w:rsidRPr="00B02B5C" w:rsidRDefault="006F709D" w:rsidP="006F709D">
            <w:r>
              <w:t>Für Menschen, die sich die höheren Nutzungskosten für E-Bikes nicht leisten können, ist der Zugang zum Veloverleihsystem nur ungleich möglich. Dies insbesondere, wenn der Gesamtdienstleister plant, den Anteil der mechanischen Fahrräder an der Veloflotte zu reduzieren. Menschen mit weniger finanziellen Möglichkeiten stehen in der Folge weniger Velos zur Verfügung. Um eine faire Nutzung zu gewährleisten, soll der Anteil der mechanischen Fahrräder 50% betragen.</w:t>
            </w:r>
          </w:p>
        </w:tc>
      </w:tr>
      <w:tr w:rsidR="006F709D" w14:paraId="447B5C72" w14:textId="77777777" w:rsidTr="00CC4A74">
        <w:tc>
          <w:tcPr>
            <w:tcW w:w="250" w:type="pct"/>
          </w:tcPr>
          <w:p w14:paraId="4CA9E525" w14:textId="77777777" w:rsidR="006F709D" w:rsidRPr="0035578B" w:rsidRDefault="006F709D" w:rsidP="006F709D">
            <w:pPr>
              <w:pStyle w:val="Listenabsatz"/>
              <w:numPr>
                <w:ilvl w:val="0"/>
                <w:numId w:val="8"/>
              </w:numPr>
            </w:pPr>
          </w:p>
        </w:tc>
        <w:tc>
          <w:tcPr>
            <w:tcW w:w="836" w:type="pct"/>
            <w:tcBorders>
              <w:top w:val="single" w:sz="4" w:space="0" w:color="auto"/>
              <w:left w:val="single" w:sz="4" w:space="0" w:color="000000"/>
              <w:bottom w:val="single" w:sz="4" w:space="0" w:color="000000"/>
              <w:right w:val="single" w:sz="4" w:space="0" w:color="000000"/>
            </w:tcBorders>
          </w:tcPr>
          <w:p w14:paraId="2CC89CBA" w14:textId="79B0C6AD" w:rsidR="006F709D" w:rsidRDefault="006F709D" w:rsidP="006F709D">
            <w:pPr>
              <w:rPr>
                <w:lang w:val="it-CH"/>
              </w:rPr>
            </w:pPr>
            <w:r>
              <w:t>JA/JUSO/GB</w:t>
            </w:r>
          </w:p>
        </w:tc>
        <w:tc>
          <w:tcPr>
            <w:tcW w:w="1941" w:type="pct"/>
            <w:tcBorders>
              <w:top w:val="single" w:sz="4" w:space="0" w:color="auto"/>
              <w:left w:val="single" w:sz="4" w:space="0" w:color="000000"/>
              <w:bottom w:val="single" w:sz="4" w:space="0" w:color="000000"/>
              <w:right w:val="single" w:sz="4" w:space="0" w:color="000000"/>
            </w:tcBorders>
          </w:tcPr>
          <w:p w14:paraId="27314EB5" w14:textId="198B4E2B" w:rsidR="006F709D" w:rsidRPr="00B02B5C" w:rsidRDefault="006F709D" w:rsidP="006F709D">
            <w:r w:rsidRPr="00376FCE">
              <w:t>Ausleihstationen dürfen nicht zulasten von bestehenden Veloabstellplätzen erstellt werden</w:t>
            </w:r>
            <w:r>
              <w:t>.</w:t>
            </w:r>
          </w:p>
        </w:tc>
        <w:tc>
          <w:tcPr>
            <w:tcW w:w="1973" w:type="pct"/>
            <w:tcBorders>
              <w:top w:val="single" w:sz="4" w:space="0" w:color="auto"/>
              <w:left w:val="single" w:sz="4" w:space="0" w:color="000000"/>
              <w:bottom w:val="single" w:sz="4" w:space="0" w:color="000000"/>
              <w:right w:val="single" w:sz="4" w:space="0" w:color="000000"/>
            </w:tcBorders>
          </w:tcPr>
          <w:p w14:paraId="29A54601" w14:textId="747CEC83" w:rsidR="006F709D" w:rsidRPr="00B02B5C" w:rsidRDefault="006F709D" w:rsidP="006F709D">
            <w:r>
              <w:rPr>
                <w:rFonts w:ascii="Arial" w:hAnsi="Arial" w:cs="Arial"/>
                <w:color w:val="000000"/>
              </w:rPr>
              <w:t>Öffentliche Veloparkplätze dürfen nicht für Ausleihstationen aufgehoben werden. Die Nutzung des eigenen Fahrrads und entsprechend genügend Abstellplätze sind zu priorisieren. Die Kriterien im Standortkonzept für die Ausleihstationen sind entsprechend anzupassen.</w:t>
            </w:r>
          </w:p>
        </w:tc>
      </w:tr>
      <w:tr w:rsidR="006F709D" w14:paraId="4C152B9A" w14:textId="77777777" w:rsidTr="00F55794">
        <w:tc>
          <w:tcPr>
            <w:tcW w:w="250" w:type="pct"/>
          </w:tcPr>
          <w:p w14:paraId="3F244552" w14:textId="77777777" w:rsidR="006F709D" w:rsidRPr="0035578B" w:rsidRDefault="006F709D" w:rsidP="006F709D">
            <w:pPr>
              <w:pStyle w:val="Listenabsatz"/>
              <w:numPr>
                <w:ilvl w:val="0"/>
                <w:numId w:val="8"/>
              </w:numPr>
            </w:pPr>
          </w:p>
        </w:tc>
        <w:tc>
          <w:tcPr>
            <w:tcW w:w="836" w:type="pct"/>
          </w:tcPr>
          <w:p w14:paraId="6D84244B" w14:textId="77777777" w:rsidR="006F709D" w:rsidRPr="0093725E" w:rsidRDefault="006F709D" w:rsidP="006F709D">
            <w:r>
              <w:t>PVS</w:t>
            </w:r>
          </w:p>
        </w:tc>
        <w:tc>
          <w:tcPr>
            <w:tcW w:w="1941" w:type="pct"/>
          </w:tcPr>
          <w:p w14:paraId="5BFBD49A" w14:textId="77777777" w:rsidR="006F709D" w:rsidRDefault="006F709D" w:rsidP="006F709D">
            <w:r>
              <w:t>Abstimmungsbotschaft:</w:t>
            </w:r>
          </w:p>
          <w:p w14:paraId="587A9C89" w14:textId="3CE439BA" w:rsidR="006F709D" w:rsidRDefault="006F709D" w:rsidP="006F709D">
            <w:r w:rsidRPr="00E74672">
              <w:t>In der gesamten Abstimmungsbotschaft wird die Bezeichnung des Veloverleihsystems «VVS 2026+» in «Velo Region Bern» geändert.</w:t>
            </w:r>
          </w:p>
        </w:tc>
        <w:tc>
          <w:tcPr>
            <w:tcW w:w="1973" w:type="pct"/>
          </w:tcPr>
          <w:p w14:paraId="72D40D75" w14:textId="77777777" w:rsidR="006F709D" w:rsidRDefault="006F709D" w:rsidP="006F709D">
            <w:r w:rsidRPr="00BD5156">
              <w:t xml:space="preserve">Bisher wurde der Name «VVS 2026+» für das Geschäft verwendet. Inzwischen wurde in Absprache </w:t>
            </w:r>
            <w:proofErr w:type="gramStart"/>
            <w:r w:rsidRPr="00BD5156">
              <w:t>mit allen Partner</w:t>
            </w:r>
            <w:proofErr w:type="gramEnd"/>
            <w:r>
              <w:t>*</w:t>
            </w:r>
            <w:r w:rsidRPr="00BD5156">
              <w:t>innen beschlossen, dass das neue System den Namen «Velo Region Bern» tragen wird. Aufgrund des zum Zeitpunkt der Entscheidung bereits weit fortgeschrittenen Prozesses konnte diese Änderung in der Abstimmungsbotschaft seitens der Verwaltung nicht mehr berücksichtigt werden.</w:t>
            </w:r>
          </w:p>
        </w:tc>
      </w:tr>
    </w:tbl>
    <w:p w14:paraId="456EE8BC" w14:textId="6FD39213" w:rsidR="006F709D" w:rsidRDefault="006F709D" w:rsidP="00B250C6">
      <w:pPr>
        <w:pStyle w:val="berschrift3"/>
      </w:pPr>
      <w:r w:rsidRPr="006F709D">
        <w:t xml:space="preserve">Traktandum </w:t>
      </w:r>
      <w:r>
        <w:t>3</w:t>
      </w:r>
      <w:r w:rsidRPr="006F709D">
        <w:t>: Nutzung des Veloverleihsystems VVS 2026+ durch Stadtmitarbeitende, Lehrpersonen der städtischen Schulen sowie Stadtratsmitglieder; Verpflichtungskredit</w:t>
      </w:r>
      <w:r>
        <w:t xml:space="preserve"> (</w:t>
      </w:r>
      <w:r w:rsidRPr="006F709D">
        <w:t>2014.TVS.000217</w:t>
      </w:r>
      <w:r>
        <w:t>)</w:t>
      </w:r>
    </w:p>
    <w:tbl>
      <w:tblPr>
        <w:tblStyle w:val="Tabellenraster"/>
        <w:tblW w:w="5000" w:type="pct"/>
        <w:tblLook w:val="04A0" w:firstRow="1" w:lastRow="0" w:firstColumn="1" w:lastColumn="0" w:noHBand="0" w:noVBand="1"/>
      </w:tblPr>
      <w:tblGrid>
        <w:gridCol w:w="676"/>
        <w:gridCol w:w="2259"/>
        <w:gridCol w:w="5245"/>
        <w:gridCol w:w="5331"/>
      </w:tblGrid>
      <w:tr w:rsidR="006F709D" w14:paraId="279C5501" w14:textId="77777777" w:rsidTr="00903839">
        <w:trPr>
          <w:tblHeader/>
        </w:trPr>
        <w:tc>
          <w:tcPr>
            <w:tcW w:w="250" w:type="pct"/>
            <w:tcBorders>
              <w:top w:val="single" w:sz="4" w:space="0" w:color="auto"/>
              <w:left w:val="single" w:sz="4" w:space="0" w:color="auto"/>
              <w:bottom w:val="single" w:sz="4" w:space="0" w:color="auto"/>
              <w:right w:val="single" w:sz="4" w:space="0" w:color="auto"/>
            </w:tcBorders>
            <w:hideMark/>
          </w:tcPr>
          <w:p w14:paraId="26E98619" w14:textId="77777777" w:rsidR="006F709D" w:rsidRDefault="006F709D" w:rsidP="00903839">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7CA328A" w14:textId="77777777" w:rsidR="006F709D" w:rsidRDefault="006F709D" w:rsidP="00903839">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5301C095" w14:textId="77777777" w:rsidR="006F709D" w:rsidRDefault="006F709D" w:rsidP="00903839">
            <w:pPr>
              <w:pStyle w:val="berschrift3"/>
            </w:pPr>
            <w:r>
              <w:t>Antrag</w:t>
            </w:r>
          </w:p>
          <w:p w14:paraId="0545F5EA" w14:textId="77777777" w:rsidR="006F709D" w:rsidRDefault="006F709D" w:rsidP="00903839"/>
        </w:tc>
        <w:tc>
          <w:tcPr>
            <w:tcW w:w="1973" w:type="pct"/>
            <w:tcBorders>
              <w:top w:val="single" w:sz="4" w:space="0" w:color="auto"/>
              <w:left w:val="single" w:sz="4" w:space="0" w:color="auto"/>
              <w:bottom w:val="single" w:sz="4" w:space="0" w:color="auto"/>
              <w:right w:val="single" w:sz="4" w:space="0" w:color="auto"/>
            </w:tcBorders>
            <w:hideMark/>
          </w:tcPr>
          <w:p w14:paraId="67F7C70E" w14:textId="77777777" w:rsidR="006F709D" w:rsidRDefault="006F709D" w:rsidP="00903839">
            <w:pPr>
              <w:pStyle w:val="berschrift3"/>
            </w:pPr>
            <w:r>
              <w:t>Begründung</w:t>
            </w:r>
          </w:p>
        </w:tc>
      </w:tr>
      <w:tr w:rsidR="006F709D" w:rsidRPr="0035578B" w14:paraId="2599D49A" w14:textId="77777777" w:rsidTr="00CC4A74">
        <w:tc>
          <w:tcPr>
            <w:tcW w:w="250" w:type="pct"/>
          </w:tcPr>
          <w:p w14:paraId="3375D6F0" w14:textId="77777777" w:rsidR="006F709D" w:rsidRDefault="006F709D" w:rsidP="006F709D">
            <w:pPr>
              <w:pStyle w:val="Listenabsatz"/>
              <w:numPr>
                <w:ilvl w:val="0"/>
                <w:numId w:val="17"/>
              </w:numPr>
            </w:pPr>
          </w:p>
        </w:tc>
        <w:tc>
          <w:tcPr>
            <w:tcW w:w="836" w:type="pct"/>
            <w:tcBorders>
              <w:top w:val="single" w:sz="4" w:space="0" w:color="000000"/>
              <w:left w:val="single" w:sz="4" w:space="0" w:color="000000"/>
              <w:bottom w:val="single" w:sz="4" w:space="0" w:color="000000"/>
              <w:right w:val="single" w:sz="4" w:space="0" w:color="000000"/>
            </w:tcBorders>
          </w:tcPr>
          <w:p w14:paraId="4AC38B48" w14:textId="0EE47049" w:rsidR="006F709D" w:rsidRPr="0035578B" w:rsidRDefault="006F709D" w:rsidP="006F709D">
            <w:r>
              <w:t>JA/GB/JUSO</w:t>
            </w:r>
          </w:p>
        </w:tc>
        <w:tc>
          <w:tcPr>
            <w:tcW w:w="1941" w:type="pct"/>
            <w:tcBorders>
              <w:top w:val="single" w:sz="4" w:space="0" w:color="000000"/>
              <w:left w:val="single" w:sz="4" w:space="0" w:color="000000"/>
              <w:bottom w:val="single" w:sz="4" w:space="0" w:color="000000"/>
              <w:right w:val="single" w:sz="4" w:space="0" w:color="000000"/>
            </w:tcBorders>
          </w:tcPr>
          <w:p w14:paraId="4AC317AE" w14:textId="600B21B0" w:rsidR="006F709D" w:rsidRPr="0035578B" w:rsidRDefault="006F709D" w:rsidP="006F709D">
            <w:r>
              <w:t>Für Menschen in Asylzentren auf städtischem Boden gelten die Tarife wie städtische Mitarbeitende.</w:t>
            </w:r>
          </w:p>
        </w:tc>
        <w:tc>
          <w:tcPr>
            <w:tcW w:w="1973" w:type="pct"/>
            <w:tcBorders>
              <w:top w:val="single" w:sz="4" w:space="0" w:color="000000"/>
              <w:left w:val="single" w:sz="4" w:space="0" w:color="000000"/>
              <w:bottom w:val="single" w:sz="4" w:space="0" w:color="000000"/>
              <w:right w:val="single" w:sz="4" w:space="0" w:color="000000"/>
            </w:tcBorders>
          </w:tcPr>
          <w:p w14:paraId="397055D6" w14:textId="0967E8C9" w:rsidR="006F709D" w:rsidRPr="0035578B" w:rsidRDefault="006F709D" w:rsidP="006F709D">
            <w:r>
              <w:t>Mobilität bedeutet auch Teilhabe. Vom Angebot des Veloverleihsystems sollen deshalb möglichst alle Menschen profitieren können. Das Tarifsystem muss deshalb sozial gerecht ausgestaltet sein. Das ist aktuell nicht ausreichend der Fall und kann für asylsuchende Menschen eine Hürde zur Nutzung darstellen. Um einen niederschwelligen Zugang zu gewährleisten, soll für asylsuchende Menschen der gleiche Tarif gelten wie für die städtischen Angestellten.</w:t>
            </w:r>
          </w:p>
        </w:tc>
      </w:tr>
      <w:tr w:rsidR="006F709D" w:rsidRPr="0035578B" w14:paraId="1A77949A" w14:textId="77777777" w:rsidTr="00CC4A74">
        <w:tc>
          <w:tcPr>
            <w:tcW w:w="250" w:type="pct"/>
          </w:tcPr>
          <w:p w14:paraId="087C084E" w14:textId="77777777" w:rsidR="006F709D" w:rsidRDefault="006F709D" w:rsidP="006F709D">
            <w:pPr>
              <w:pStyle w:val="Listenabsatz"/>
              <w:numPr>
                <w:ilvl w:val="0"/>
                <w:numId w:val="17"/>
              </w:numPr>
            </w:pPr>
          </w:p>
        </w:tc>
        <w:tc>
          <w:tcPr>
            <w:tcW w:w="836" w:type="pct"/>
            <w:tcBorders>
              <w:top w:val="single" w:sz="4" w:space="0" w:color="000000"/>
              <w:left w:val="single" w:sz="4" w:space="0" w:color="000000"/>
              <w:bottom w:val="single" w:sz="4" w:space="0" w:color="000000"/>
              <w:right w:val="single" w:sz="4" w:space="0" w:color="000000"/>
            </w:tcBorders>
          </w:tcPr>
          <w:p w14:paraId="19573F3A" w14:textId="13FD9865" w:rsidR="006F709D" w:rsidRPr="0035578B" w:rsidRDefault="006F709D" w:rsidP="006F709D">
            <w:r>
              <w:t>JA/JUSO</w:t>
            </w:r>
          </w:p>
        </w:tc>
        <w:tc>
          <w:tcPr>
            <w:tcW w:w="1941" w:type="pct"/>
            <w:tcBorders>
              <w:top w:val="single" w:sz="4" w:space="0" w:color="000000"/>
              <w:left w:val="single" w:sz="4" w:space="0" w:color="000000"/>
              <w:bottom w:val="single" w:sz="4" w:space="0" w:color="000000"/>
              <w:right w:val="single" w:sz="4" w:space="0" w:color="000000"/>
            </w:tcBorders>
          </w:tcPr>
          <w:p w14:paraId="432151F6" w14:textId="0424DDEB" w:rsidR="006F709D" w:rsidRPr="0035578B" w:rsidRDefault="006F709D" w:rsidP="006F709D">
            <w:r w:rsidRPr="00420DE0">
              <w:t>Der Gemeinderat (Direktion für Bildung, Soziales und Sport) soll im Hinblick auf die Einführung des Veloverleihsystems 2026+ prüfen, ob und wie unter Berücksichtigung der beschaffungsrechtlichen Vorgaben (keine Neuausschreibung) für Menschen in Asylzentren auf städtischem Boden ein vergünstigter Zugang zum Veloverleihsystem ermöglicht werden kann.</w:t>
            </w:r>
          </w:p>
        </w:tc>
        <w:tc>
          <w:tcPr>
            <w:tcW w:w="1973" w:type="pct"/>
            <w:tcBorders>
              <w:top w:val="single" w:sz="4" w:space="0" w:color="000000"/>
              <w:left w:val="single" w:sz="4" w:space="0" w:color="000000"/>
              <w:bottom w:val="single" w:sz="4" w:space="0" w:color="000000"/>
              <w:right w:val="single" w:sz="4" w:space="0" w:color="000000"/>
            </w:tcBorders>
          </w:tcPr>
          <w:p w14:paraId="7052258D" w14:textId="1562350C" w:rsidR="006F709D" w:rsidRPr="0035578B" w:rsidRDefault="006F709D" w:rsidP="006F709D">
            <w:r>
              <w:t>Mobilität bedeutet auch Teilhabe. Vom Angebot des Veloverleihsystems sollen deshalb möglichst alle Menschen profitieren können. Das Tarifsystem muss deshalb sozial gerecht ausgestaltet sein. Das ist aktuell nicht ausreichend der Fall und kann für asylsuchende Menschen eine Hürde zur Nutzung darstellen. Um einen niederschwelligen Zugang zu gewährleisten, soll für asylsuchende Menschen der gleiche Tarif gelten wie für die städtischen Angestellten.</w:t>
            </w:r>
          </w:p>
        </w:tc>
      </w:tr>
      <w:tr w:rsidR="006F709D" w:rsidRPr="0035578B" w14:paraId="62B8F6F6" w14:textId="77777777" w:rsidTr="00CC4A74">
        <w:tc>
          <w:tcPr>
            <w:tcW w:w="250" w:type="pct"/>
          </w:tcPr>
          <w:p w14:paraId="57A081C8" w14:textId="77777777" w:rsidR="006F709D" w:rsidRDefault="006F709D" w:rsidP="006F709D">
            <w:pPr>
              <w:pStyle w:val="Listenabsatz"/>
              <w:numPr>
                <w:ilvl w:val="0"/>
                <w:numId w:val="17"/>
              </w:numPr>
            </w:pPr>
          </w:p>
        </w:tc>
        <w:tc>
          <w:tcPr>
            <w:tcW w:w="836" w:type="pct"/>
            <w:tcBorders>
              <w:top w:val="single" w:sz="4" w:space="0" w:color="000000"/>
              <w:left w:val="single" w:sz="4" w:space="0" w:color="000000"/>
              <w:bottom w:val="single" w:sz="4" w:space="0" w:color="000000"/>
              <w:right w:val="single" w:sz="4" w:space="0" w:color="000000"/>
            </w:tcBorders>
          </w:tcPr>
          <w:p w14:paraId="439FB1AB" w14:textId="76B6C4AD" w:rsidR="006F709D" w:rsidRPr="0035578B" w:rsidRDefault="006F709D" w:rsidP="006F709D">
            <w:r>
              <w:t>JA/GB/JUSO</w:t>
            </w:r>
          </w:p>
        </w:tc>
        <w:tc>
          <w:tcPr>
            <w:tcW w:w="1941" w:type="pct"/>
            <w:tcBorders>
              <w:top w:val="single" w:sz="4" w:space="0" w:color="000000"/>
              <w:left w:val="single" w:sz="4" w:space="0" w:color="000000"/>
              <w:bottom w:val="single" w:sz="4" w:space="0" w:color="000000"/>
              <w:right w:val="single" w:sz="4" w:space="0" w:color="000000"/>
            </w:tcBorders>
          </w:tcPr>
          <w:p w14:paraId="606FC90E" w14:textId="53D692B3" w:rsidR="006F709D" w:rsidRPr="0035578B" w:rsidRDefault="006F709D" w:rsidP="006F709D">
            <w:r>
              <w:t xml:space="preserve">Für Menschen mit </w:t>
            </w:r>
            <w:proofErr w:type="spellStart"/>
            <w:r>
              <w:t>Kulturlegis</w:t>
            </w:r>
            <w:proofErr w:type="spellEnd"/>
            <w:r>
              <w:t xml:space="preserve"> gelten die gleichen Tarife wie für städtische Mitarbeitende.</w:t>
            </w:r>
          </w:p>
        </w:tc>
        <w:tc>
          <w:tcPr>
            <w:tcW w:w="1973" w:type="pct"/>
            <w:tcBorders>
              <w:top w:val="single" w:sz="4" w:space="0" w:color="000000"/>
              <w:left w:val="single" w:sz="4" w:space="0" w:color="000000"/>
              <w:bottom w:val="single" w:sz="4" w:space="0" w:color="000000"/>
              <w:right w:val="single" w:sz="4" w:space="0" w:color="000000"/>
            </w:tcBorders>
          </w:tcPr>
          <w:p w14:paraId="3B81196B" w14:textId="1A4C61B3" w:rsidR="006F709D" w:rsidRPr="0035578B" w:rsidRDefault="006F709D" w:rsidP="006F709D">
            <w:r>
              <w:t xml:space="preserve">Mobilität bedeutet auch Teilhabe. Vom Angebot des Veloverleihsystems sollen deshalb möglichst alle Menschen profitieren können. Das Tarifsystem muss deshalb sozial gerecht ausgestaltet sein. Das ist aktuell nicht ausreichend der Fall und kann für </w:t>
            </w:r>
            <w:proofErr w:type="spellStart"/>
            <w:r>
              <w:t>Kulturlegi</w:t>
            </w:r>
            <w:proofErr w:type="spellEnd"/>
            <w:r>
              <w:t xml:space="preserve">-Berechtigte eine Hürde zur Nutzung darstellen. Um einen niederschwelligen Zugang zu gewährleisten, soll für </w:t>
            </w:r>
            <w:proofErr w:type="spellStart"/>
            <w:r>
              <w:t>Kulturlegi</w:t>
            </w:r>
            <w:proofErr w:type="spellEnd"/>
            <w:r>
              <w:t>-Inhaber*innen der gleiche Tarif gelten wie für die städtischen Angestellten.</w:t>
            </w:r>
          </w:p>
        </w:tc>
      </w:tr>
      <w:tr w:rsidR="006F709D" w:rsidRPr="0035578B" w14:paraId="465D4266" w14:textId="77777777" w:rsidTr="00CC4A74">
        <w:tc>
          <w:tcPr>
            <w:tcW w:w="250" w:type="pct"/>
          </w:tcPr>
          <w:p w14:paraId="2186202B" w14:textId="77777777" w:rsidR="006F709D" w:rsidRDefault="006F709D" w:rsidP="006F709D">
            <w:pPr>
              <w:pStyle w:val="Listenabsatz"/>
              <w:numPr>
                <w:ilvl w:val="0"/>
                <w:numId w:val="17"/>
              </w:numPr>
            </w:pPr>
          </w:p>
        </w:tc>
        <w:tc>
          <w:tcPr>
            <w:tcW w:w="836" w:type="pct"/>
            <w:tcBorders>
              <w:top w:val="single" w:sz="4" w:space="0" w:color="000000"/>
              <w:left w:val="single" w:sz="4" w:space="0" w:color="000000"/>
              <w:bottom w:val="single" w:sz="4" w:space="0" w:color="000000"/>
              <w:right w:val="single" w:sz="4" w:space="0" w:color="000000"/>
            </w:tcBorders>
          </w:tcPr>
          <w:p w14:paraId="318CD2E3" w14:textId="258BF957" w:rsidR="006F709D" w:rsidRPr="0035578B" w:rsidRDefault="006F709D" w:rsidP="006F709D">
            <w:r>
              <w:t>JA/JUSO</w:t>
            </w:r>
          </w:p>
        </w:tc>
        <w:tc>
          <w:tcPr>
            <w:tcW w:w="1941" w:type="pct"/>
            <w:tcBorders>
              <w:top w:val="single" w:sz="4" w:space="0" w:color="000000"/>
              <w:left w:val="single" w:sz="4" w:space="0" w:color="000000"/>
              <w:bottom w:val="single" w:sz="4" w:space="0" w:color="000000"/>
              <w:right w:val="single" w:sz="4" w:space="0" w:color="000000"/>
            </w:tcBorders>
          </w:tcPr>
          <w:p w14:paraId="028309F6" w14:textId="30D69E3E" w:rsidR="006F709D" w:rsidRPr="0035578B" w:rsidRDefault="006F709D" w:rsidP="006F709D">
            <w:r w:rsidRPr="00C2282C">
              <w:t xml:space="preserve">Der Gemeinderat (Präsidialdirektion) soll im Hinblick auf die Einführung des Veloverleihsystems 2026+ prüfen, ob und wie unter Berücksichtigung der beschaffungsrechtlichen Vorgaben (keine Neuausschreibung) für Menschen mit </w:t>
            </w:r>
            <w:proofErr w:type="spellStart"/>
            <w:r w:rsidRPr="00C2282C">
              <w:t>Kulturlegi</w:t>
            </w:r>
            <w:proofErr w:type="spellEnd"/>
            <w:r w:rsidRPr="00C2282C">
              <w:t xml:space="preserve"> ein vergünstigter Zugang zum Veloverleihsystem ermöglicht werden kann.</w:t>
            </w:r>
          </w:p>
        </w:tc>
        <w:tc>
          <w:tcPr>
            <w:tcW w:w="1973" w:type="pct"/>
            <w:tcBorders>
              <w:top w:val="single" w:sz="4" w:space="0" w:color="000000"/>
              <w:left w:val="single" w:sz="4" w:space="0" w:color="000000"/>
              <w:bottom w:val="single" w:sz="4" w:space="0" w:color="000000"/>
              <w:right w:val="single" w:sz="4" w:space="0" w:color="000000"/>
            </w:tcBorders>
          </w:tcPr>
          <w:p w14:paraId="7821DE62" w14:textId="3C8162B5" w:rsidR="006F709D" w:rsidRPr="0035578B" w:rsidRDefault="006F709D" w:rsidP="006F709D">
            <w:r>
              <w:t xml:space="preserve">Mobilität bedeutet auch Teilhabe. Vom Angebot des Veloverleihsystems sollen deshalb möglichst alle Menschen profitieren können. Das Tarifsystem muss deshalb sozial gerecht ausgestaltet sein. Das ist aktuell nicht ausreichend der Fall und kann für </w:t>
            </w:r>
            <w:proofErr w:type="spellStart"/>
            <w:r>
              <w:t>Kulturlegi</w:t>
            </w:r>
            <w:proofErr w:type="spellEnd"/>
            <w:r>
              <w:t xml:space="preserve">-Berechtigte eine Hürde zur Nutzung darstellen. Um einen niederschwelligen Zugang zu gewährleisten, soll für </w:t>
            </w:r>
            <w:proofErr w:type="spellStart"/>
            <w:r>
              <w:t>Kulturlegi</w:t>
            </w:r>
            <w:proofErr w:type="spellEnd"/>
            <w:r>
              <w:t>-Inhaber*innen der gleiche Tarif gelten wie für die städtischen Angestellten.</w:t>
            </w:r>
          </w:p>
        </w:tc>
      </w:tr>
      <w:tr w:rsidR="006F709D" w:rsidRPr="0035578B" w14:paraId="33B4D8AA" w14:textId="77777777" w:rsidTr="00CC4A74">
        <w:tc>
          <w:tcPr>
            <w:tcW w:w="250" w:type="pct"/>
          </w:tcPr>
          <w:p w14:paraId="25A26A80" w14:textId="77777777" w:rsidR="006F709D" w:rsidRDefault="006F709D" w:rsidP="006F709D">
            <w:pPr>
              <w:pStyle w:val="Listenabsatz"/>
              <w:numPr>
                <w:ilvl w:val="0"/>
                <w:numId w:val="17"/>
              </w:numPr>
            </w:pPr>
          </w:p>
        </w:tc>
        <w:tc>
          <w:tcPr>
            <w:tcW w:w="836" w:type="pct"/>
            <w:tcBorders>
              <w:top w:val="single" w:sz="4" w:space="0" w:color="000000"/>
              <w:left w:val="single" w:sz="4" w:space="0" w:color="000000"/>
              <w:bottom w:val="single" w:sz="4" w:space="0" w:color="000000"/>
              <w:right w:val="single" w:sz="4" w:space="0" w:color="000000"/>
            </w:tcBorders>
          </w:tcPr>
          <w:p w14:paraId="62DC791B" w14:textId="17C60E95" w:rsidR="006F709D" w:rsidRPr="0035578B" w:rsidRDefault="006F709D" w:rsidP="006F709D">
            <w:r>
              <w:t>JA/GB/JUSO</w:t>
            </w:r>
          </w:p>
        </w:tc>
        <w:tc>
          <w:tcPr>
            <w:tcW w:w="1941" w:type="pct"/>
            <w:tcBorders>
              <w:top w:val="single" w:sz="4" w:space="0" w:color="000000"/>
              <w:left w:val="single" w:sz="4" w:space="0" w:color="000000"/>
              <w:bottom w:val="single" w:sz="4" w:space="0" w:color="000000"/>
              <w:right w:val="single" w:sz="4" w:space="0" w:color="000000"/>
            </w:tcBorders>
          </w:tcPr>
          <w:p w14:paraId="3F1EDB06" w14:textId="022732DD" w:rsidR="006F709D" w:rsidRPr="0035578B" w:rsidRDefault="006F709D" w:rsidP="006F709D">
            <w:r>
              <w:t>Für das Personal der Leistungsvertragspartner*innen gelten die gleichen Tarife wie für städtische Mitarbeitende.</w:t>
            </w:r>
          </w:p>
        </w:tc>
        <w:tc>
          <w:tcPr>
            <w:tcW w:w="1973" w:type="pct"/>
            <w:tcBorders>
              <w:top w:val="single" w:sz="4" w:space="0" w:color="000000"/>
              <w:left w:val="single" w:sz="4" w:space="0" w:color="000000"/>
              <w:bottom w:val="single" w:sz="4" w:space="0" w:color="000000"/>
              <w:right w:val="single" w:sz="4" w:space="0" w:color="000000"/>
            </w:tcBorders>
          </w:tcPr>
          <w:p w14:paraId="1DC54355" w14:textId="168AC82E" w:rsidR="006F709D" w:rsidRPr="0035578B" w:rsidRDefault="006F709D" w:rsidP="006F709D">
            <w:r>
              <w:t>Der Stadt Bern ist es ein Anliegen, dass die Leistungsvertragspartner*innen gerechte und soziale Arbeitsbedingungen sicherstellen. Hierzu enthalten die Leistungsverträge eine Klausel, durch welche die Leistungserbringer*innen «den Arbeitnehmenden im Vergleich zur Stadt gleichwertige Anstellungsbedingungen [garantieren müssen]». Dies wird aber seitens Stadt in der Abgeltung der Leistungen nicht systematisch vollzogen, was vor allem hinsichtlich des neuen Personalreglements erst recht eine Schieflage erzeugt. Mit Massnahmen wie diesen könnte dem in kleinem Masse etwas entgegengesetzt werden.</w:t>
            </w:r>
          </w:p>
        </w:tc>
      </w:tr>
      <w:tr w:rsidR="006F709D" w:rsidRPr="0035578B" w14:paraId="6277CB5C" w14:textId="77777777" w:rsidTr="00CC4A74">
        <w:tc>
          <w:tcPr>
            <w:tcW w:w="250" w:type="pct"/>
          </w:tcPr>
          <w:p w14:paraId="5A11B5DA" w14:textId="77777777" w:rsidR="006F709D" w:rsidRDefault="006F709D" w:rsidP="006F709D">
            <w:pPr>
              <w:pStyle w:val="Listenabsatz"/>
              <w:numPr>
                <w:ilvl w:val="0"/>
                <w:numId w:val="17"/>
              </w:numPr>
            </w:pPr>
          </w:p>
        </w:tc>
        <w:tc>
          <w:tcPr>
            <w:tcW w:w="836" w:type="pct"/>
            <w:tcBorders>
              <w:top w:val="single" w:sz="4" w:space="0" w:color="000000"/>
              <w:left w:val="single" w:sz="4" w:space="0" w:color="000000"/>
              <w:bottom w:val="single" w:sz="4" w:space="0" w:color="000000"/>
              <w:right w:val="single" w:sz="4" w:space="0" w:color="000000"/>
            </w:tcBorders>
          </w:tcPr>
          <w:p w14:paraId="747A43B5" w14:textId="1422E771" w:rsidR="006F709D" w:rsidRPr="0035578B" w:rsidRDefault="006F709D" w:rsidP="006F709D">
            <w:r>
              <w:t>JA/GB</w:t>
            </w:r>
          </w:p>
        </w:tc>
        <w:tc>
          <w:tcPr>
            <w:tcW w:w="1941" w:type="pct"/>
            <w:tcBorders>
              <w:top w:val="single" w:sz="4" w:space="0" w:color="000000"/>
              <w:left w:val="single" w:sz="4" w:space="0" w:color="000000"/>
              <w:bottom w:val="single" w:sz="4" w:space="0" w:color="000000"/>
              <w:right w:val="single" w:sz="4" w:space="0" w:color="000000"/>
            </w:tcBorders>
          </w:tcPr>
          <w:p w14:paraId="11847CF4" w14:textId="2C1702BA" w:rsidR="006F709D" w:rsidRPr="0035578B" w:rsidRDefault="006F709D" w:rsidP="006F709D">
            <w:r w:rsidRPr="00840926">
              <w:t>Der Gemeinderat soll im Hinblick auf die Einführung des Veloverleihsystems 2026+ prüfen, ob und wie unter Berücksichtigung der beschaffungsrechtlichen Vorgaben (keine Neuausschreibung) für das Personal der Leistungsvertragspartner*innen ein vergünstigter Zugang zum Veloverleihsystem</w:t>
            </w:r>
            <w:r>
              <w:t xml:space="preserve"> oder</w:t>
            </w:r>
            <w:r w:rsidRPr="00840926">
              <w:t xml:space="preserve"> die gleichen Tarife wie für städtische Mitarbeitende ermöglicht werden k</w:t>
            </w:r>
            <w:r>
              <w:t>önnen.</w:t>
            </w:r>
          </w:p>
        </w:tc>
        <w:tc>
          <w:tcPr>
            <w:tcW w:w="1973" w:type="pct"/>
            <w:tcBorders>
              <w:top w:val="single" w:sz="4" w:space="0" w:color="000000"/>
              <w:left w:val="single" w:sz="4" w:space="0" w:color="000000"/>
              <w:bottom w:val="single" w:sz="4" w:space="0" w:color="000000"/>
              <w:right w:val="single" w:sz="4" w:space="0" w:color="000000"/>
            </w:tcBorders>
          </w:tcPr>
          <w:p w14:paraId="22BA5C68" w14:textId="2C316119" w:rsidR="006F709D" w:rsidRPr="0035578B" w:rsidRDefault="006F709D" w:rsidP="006F709D">
            <w:r>
              <w:t>Der Stadt Bern ist es ein Anliegen, dass die Leistungsvertragspartner*innen gerechte und soziale Arbeitsbedingungen sicherstellen. Hierzu enthalten die Leistungsverträge eine Klausel, durch welche die Leistungserbringer*innen «den Arbeitnehmenden im Vergleich zur Stadt gleichwertige Anstellungsbedingungen [garantieren müssen]». Dies wird aber seitens Stadt in der Abgeltung der Leistungen nicht systematisch vollzogen, was vor allem hinsichtlich des neuen Personalreglements erst recht eine Schieflage erzeugt. Mit Massnahmen wie diesen könnte dem in kleinem Masse etwas entgegengesetzt werden.</w:t>
            </w:r>
          </w:p>
        </w:tc>
      </w:tr>
      <w:tr w:rsidR="006F709D" w:rsidRPr="0035578B" w14:paraId="60E3A18A" w14:textId="77777777" w:rsidTr="00CC4A74">
        <w:tc>
          <w:tcPr>
            <w:tcW w:w="250" w:type="pct"/>
          </w:tcPr>
          <w:p w14:paraId="7738420C" w14:textId="77777777" w:rsidR="006F709D" w:rsidRDefault="006F709D" w:rsidP="006F709D">
            <w:pPr>
              <w:pStyle w:val="Listenabsatz"/>
              <w:numPr>
                <w:ilvl w:val="0"/>
                <w:numId w:val="17"/>
              </w:numPr>
            </w:pPr>
          </w:p>
        </w:tc>
        <w:tc>
          <w:tcPr>
            <w:tcW w:w="836" w:type="pct"/>
            <w:tcBorders>
              <w:top w:val="single" w:sz="4" w:space="0" w:color="000000"/>
              <w:left w:val="single" w:sz="4" w:space="0" w:color="000000"/>
              <w:bottom w:val="single" w:sz="4" w:space="0" w:color="000000"/>
              <w:right w:val="single" w:sz="4" w:space="0" w:color="000000"/>
            </w:tcBorders>
          </w:tcPr>
          <w:p w14:paraId="444AAF69" w14:textId="279B3932" w:rsidR="006F709D" w:rsidRPr="0035578B" w:rsidRDefault="006F709D" w:rsidP="006F709D">
            <w:r>
              <w:t>JA/GB/JUSO</w:t>
            </w:r>
          </w:p>
        </w:tc>
        <w:tc>
          <w:tcPr>
            <w:tcW w:w="1941" w:type="pct"/>
            <w:tcBorders>
              <w:top w:val="single" w:sz="4" w:space="0" w:color="000000"/>
              <w:left w:val="single" w:sz="4" w:space="0" w:color="000000"/>
              <w:bottom w:val="single" w:sz="4" w:space="0" w:color="000000"/>
              <w:right w:val="single" w:sz="4" w:space="0" w:color="000000"/>
            </w:tcBorders>
          </w:tcPr>
          <w:p w14:paraId="00381C1A" w14:textId="72EED93E" w:rsidR="006F709D" w:rsidRPr="0035578B" w:rsidRDefault="006F709D" w:rsidP="006F709D">
            <w:r>
              <w:t>Für Jugendliche zwischen 14-18 Jahre alt gelten die gleichen Tarife wie für städtische Mitarbeitende.</w:t>
            </w:r>
          </w:p>
        </w:tc>
        <w:tc>
          <w:tcPr>
            <w:tcW w:w="1973" w:type="pct"/>
            <w:tcBorders>
              <w:top w:val="single" w:sz="4" w:space="0" w:color="000000"/>
              <w:left w:val="single" w:sz="4" w:space="0" w:color="000000"/>
              <w:bottom w:val="single" w:sz="4" w:space="0" w:color="000000"/>
              <w:right w:val="single" w:sz="4" w:space="0" w:color="000000"/>
            </w:tcBorders>
          </w:tcPr>
          <w:p w14:paraId="039AB377" w14:textId="4E122D38" w:rsidR="006F709D" w:rsidRPr="0035578B" w:rsidRDefault="006F709D" w:rsidP="006F709D">
            <w:r>
              <w:t>Mobilität bedeutet auch Teilhabe. Vom Angebot des Veloverleihsystems sollen deshalb möglichst alle Menschen profitieren können. Das Tarifsystem muss deshalb sozial gerecht ausgestaltet sein. Das ist aktuell nicht ausreichend der Fall und kann für junge Menschen eine Hürde zur Nutzung darstellen. Um einen niederschwelligen Zugang zu gewährleisten, soll für Jugendliche zwischen 14 und 18 Jahren der gleiche Tarif gelten wie für die städtischen Angestellten.</w:t>
            </w:r>
          </w:p>
        </w:tc>
      </w:tr>
      <w:tr w:rsidR="006F709D" w:rsidRPr="0035578B" w14:paraId="37B9B4D0" w14:textId="77777777" w:rsidTr="00CC4A74">
        <w:tc>
          <w:tcPr>
            <w:tcW w:w="250" w:type="pct"/>
          </w:tcPr>
          <w:p w14:paraId="22F25BAC" w14:textId="77777777" w:rsidR="006F709D" w:rsidRDefault="006F709D" w:rsidP="006F709D">
            <w:pPr>
              <w:pStyle w:val="Listenabsatz"/>
              <w:numPr>
                <w:ilvl w:val="0"/>
                <w:numId w:val="17"/>
              </w:numPr>
            </w:pPr>
          </w:p>
        </w:tc>
        <w:tc>
          <w:tcPr>
            <w:tcW w:w="836" w:type="pct"/>
            <w:tcBorders>
              <w:top w:val="single" w:sz="4" w:space="0" w:color="000000"/>
              <w:left w:val="single" w:sz="4" w:space="0" w:color="000000"/>
              <w:bottom w:val="single" w:sz="4" w:space="0" w:color="000000"/>
              <w:right w:val="single" w:sz="4" w:space="0" w:color="000000"/>
            </w:tcBorders>
          </w:tcPr>
          <w:p w14:paraId="46B3995F" w14:textId="3C87CDE8" w:rsidR="006F709D" w:rsidRPr="0035578B" w:rsidRDefault="006F709D" w:rsidP="006F709D">
            <w:r>
              <w:t>JA/JUSO</w:t>
            </w:r>
          </w:p>
        </w:tc>
        <w:tc>
          <w:tcPr>
            <w:tcW w:w="1941" w:type="pct"/>
            <w:tcBorders>
              <w:top w:val="single" w:sz="4" w:space="0" w:color="000000"/>
              <w:left w:val="single" w:sz="4" w:space="0" w:color="000000"/>
              <w:bottom w:val="single" w:sz="4" w:space="0" w:color="000000"/>
              <w:right w:val="single" w:sz="4" w:space="0" w:color="000000"/>
            </w:tcBorders>
          </w:tcPr>
          <w:p w14:paraId="730F9AB7" w14:textId="40F30C8E" w:rsidR="006F709D" w:rsidRPr="0035578B" w:rsidRDefault="006F709D" w:rsidP="006F709D">
            <w:r w:rsidRPr="00C2282C">
              <w:t>Der Gemeinderat (Direktion für Bildung, Soziales und Sport) soll im Hinblick auf die Einführung des Veloverleihsystems 2026+ prüfen, ob und wie unter Berücksichtigung der beschaffungsrechtlichen Vorgaben (keine Neuausschreibung) für Jugendliche zwischen 14-18 Jahre ein vergünstigter Zugang zum Veloverleihsystem ermöglicht werden kann.</w:t>
            </w:r>
          </w:p>
        </w:tc>
        <w:tc>
          <w:tcPr>
            <w:tcW w:w="1973" w:type="pct"/>
            <w:tcBorders>
              <w:top w:val="single" w:sz="4" w:space="0" w:color="000000"/>
              <w:left w:val="single" w:sz="4" w:space="0" w:color="000000"/>
              <w:bottom w:val="single" w:sz="4" w:space="0" w:color="000000"/>
              <w:right w:val="single" w:sz="4" w:space="0" w:color="000000"/>
            </w:tcBorders>
          </w:tcPr>
          <w:p w14:paraId="38AF4A14" w14:textId="1A4E1166" w:rsidR="006F709D" w:rsidRPr="0035578B" w:rsidRDefault="006F709D" w:rsidP="006F709D">
            <w:r>
              <w:t>Mobilität bedeutet auch Teilhabe. Vom Angebot des Veloverleihsystems sollen deshalb möglichst alle Menschen profitieren können. Das Tarifsystem muss deshalb sozial gerecht ausgestaltet sein. Das ist aktuell nicht ausreichend der Fall und kann für junge Menschen eine Hürde zur Nutzung darstellen. Um einen niederschwelligen Zugang zu gewährleisten, soll für Jugendliche zwischen 14 und 18 Jahren der gleiche Tarif gelten wie für die städtischen Angestellten.</w:t>
            </w:r>
          </w:p>
        </w:tc>
      </w:tr>
    </w:tbl>
    <w:p w14:paraId="316E75D7" w14:textId="4D836963" w:rsidR="00B250C6" w:rsidRDefault="00B250C6" w:rsidP="00B250C6">
      <w:pPr>
        <w:pStyle w:val="berschrift3"/>
      </w:pPr>
      <w:r>
        <w:t xml:space="preserve">Traktandum 4: </w:t>
      </w:r>
      <w:r w:rsidR="006C1CCC" w:rsidRPr="006C1CCC">
        <w:t>Erweiterung des Kindergartenstandorts Schlossmatt; Baukredit (Abstimmungsbotschaft)</w:t>
      </w:r>
      <w:r w:rsidR="006C1CCC">
        <w:t xml:space="preserve"> (</w:t>
      </w:r>
      <w:r w:rsidR="006C1CCC" w:rsidRPr="006C1CCC">
        <w:t>2022.PRD.000035</w:t>
      </w:r>
      <w:r w:rsidR="006C1CCC">
        <w:t>)</w:t>
      </w:r>
    </w:p>
    <w:tbl>
      <w:tblPr>
        <w:tblStyle w:val="Tabellenraster"/>
        <w:tblW w:w="5000" w:type="pct"/>
        <w:tblLook w:val="04A0" w:firstRow="1" w:lastRow="0" w:firstColumn="1" w:lastColumn="0" w:noHBand="0" w:noVBand="1"/>
      </w:tblPr>
      <w:tblGrid>
        <w:gridCol w:w="676"/>
        <w:gridCol w:w="2259"/>
        <w:gridCol w:w="5245"/>
        <w:gridCol w:w="5331"/>
      </w:tblGrid>
      <w:tr w:rsidR="00B250C6" w14:paraId="51BA9024" w14:textId="77777777" w:rsidTr="005228D0">
        <w:trPr>
          <w:tblHeader/>
        </w:trPr>
        <w:tc>
          <w:tcPr>
            <w:tcW w:w="250" w:type="pct"/>
            <w:tcBorders>
              <w:top w:val="single" w:sz="4" w:space="0" w:color="auto"/>
              <w:left w:val="single" w:sz="4" w:space="0" w:color="auto"/>
              <w:bottom w:val="single" w:sz="4" w:space="0" w:color="auto"/>
              <w:right w:val="single" w:sz="4" w:space="0" w:color="auto"/>
            </w:tcBorders>
            <w:hideMark/>
          </w:tcPr>
          <w:p w14:paraId="75AB8E39" w14:textId="77777777" w:rsidR="00B250C6" w:rsidRDefault="00B250C6" w:rsidP="005228D0">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517C07BC" w14:textId="77777777" w:rsidR="00B250C6" w:rsidRDefault="00B250C6" w:rsidP="005228D0">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1E4187D9" w14:textId="77777777" w:rsidR="00B250C6" w:rsidRDefault="00B250C6" w:rsidP="005228D0">
            <w:pPr>
              <w:pStyle w:val="berschrift3"/>
            </w:pPr>
            <w:r>
              <w:t>Antrag</w:t>
            </w:r>
          </w:p>
          <w:p w14:paraId="53054D6C" w14:textId="77777777" w:rsidR="00B250C6" w:rsidRDefault="00B250C6" w:rsidP="005228D0"/>
        </w:tc>
        <w:tc>
          <w:tcPr>
            <w:tcW w:w="1973" w:type="pct"/>
            <w:tcBorders>
              <w:top w:val="single" w:sz="4" w:space="0" w:color="auto"/>
              <w:left w:val="single" w:sz="4" w:space="0" w:color="auto"/>
              <w:bottom w:val="single" w:sz="4" w:space="0" w:color="auto"/>
              <w:right w:val="single" w:sz="4" w:space="0" w:color="auto"/>
            </w:tcBorders>
            <w:hideMark/>
          </w:tcPr>
          <w:p w14:paraId="0D780DEA" w14:textId="77777777" w:rsidR="00B250C6" w:rsidRDefault="00B250C6" w:rsidP="005228D0">
            <w:pPr>
              <w:pStyle w:val="berschrift3"/>
            </w:pPr>
            <w:r>
              <w:t>Begründung</w:t>
            </w:r>
          </w:p>
        </w:tc>
      </w:tr>
      <w:tr w:rsidR="00B250C6" w:rsidRPr="0035578B" w14:paraId="0977F829" w14:textId="77777777" w:rsidTr="005228D0">
        <w:tc>
          <w:tcPr>
            <w:tcW w:w="250" w:type="pct"/>
          </w:tcPr>
          <w:p w14:paraId="7D388F83" w14:textId="77777777" w:rsidR="00B250C6" w:rsidRDefault="00B250C6" w:rsidP="00CC4A74">
            <w:pPr>
              <w:pStyle w:val="Listenabsatz"/>
              <w:numPr>
                <w:ilvl w:val="0"/>
                <w:numId w:val="18"/>
              </w:numPr>
            </w:pPr>
          </w:p>
        </w:tc>
        <w:tc>
          <w:tcPr>
            <w:tcW w:w="836" w:type="pct"/>
          </w:tcPr>
          <w:p w14:paraId="7DE69E01" w14:textId="57DB02CE" w:rsidR="00B250C6" w:rsidRPr="0035578B" w:rsidRDefault="00B250C6" w:rsidP="005228D0">
            <w:r>
              <w:t>GB/JA</w:t>
            </w:r>
          </w:p>
        </w:tc>
        <w:tc>
          <w:tcPr>
            <w:tcW w:w="1941" w:type="pct"/>
          </w:tcPr>
          <w:p w14:paraId="134891AA" w14:textId="0807718E" w:rsidR="00B250C6" w:rsidRPr="0035578B" w:rsidRDefault="00B250C6" w:rsidP="005228D0">
            <w:r w:rsidRPr="00B250C6">
              <w:t>Beim Kindergarten-Schlossmatt soll ein statisches Gutachten durchgeführt werden und wenn nötig Zusatzmassnahmen umgesetzt werden, um eine mögliche Aufstockung des Gebäudes in Zukunft sicherzustellen.</w:t>
            </w:r>
          </w:p>
        </w:tc>
        <w:tc>
          <w:tcPr>
            <w:tcW w:w="1973" w:type="pct"/>
          </w:tcPr>
          <w:p w14:paraId="6208DFA0" w14:textId="42B1B8E1" w:rsidR="00B250C6" w:rsidRPr="0035578B" w:rsidRDefault="00B250C6" w:rsidP="005228D0">
            <w:r w:rsidRPr="00B250C6">
              <w:t>Es gibt einen prognostizierten Mehrbedarf an Schulräumen. Da die Städte wachsen und wir auch in Zukunft einen erhöhten Bedarf an Schulraum haben werden, wäre es vorausschauend, bereits jetzt ein statisches Gutachten zu erstellen, das auch die Aufstockungsmöglichkeiten der Gebäude untersucht und die nötigen Zusatzmassnahmen einzuplanen.</w:t>
            </w:r>
          </w:p>
        </w:tc>
      </w:tr>
      <w:tr w:rsidR="00271A22" w:rsidRPr="0035578B" w14:paraId="012C45F2" w14:textId="77777777" w:rsidTr="005228D0">
        <w:tc>
          <w:tcPr>
            <w:tcW w:w="250" w:type="pct"/>
          </w:tcPr>
          <w:p w14:paraId="7ACD86FE" w14:textId="77777777" w:rsidR="00271A22" w:rsidRDefault="00271A22" w:rsidP="00271A22">
            <w:pPr>
              <w:pStyle w:val="Listenabsatz"/>
              <w:numPr>
                <w:ilvl w:val="0"/>
                <w:numId w:val="18"/>
              </w:numPr>
            </w:pPr>
          </w:p>
        </w:tc>
        <w:tc>
          <w:tcPr>
            <w:tcW w:w="836" w:type="pct"/>
          </w:tcPr>
          <w:p w14:paraId="39C0BDCD" w14:textId="7BD014DF" w:rsidR="00271A22" w:rsidRDefault="00271A22" w:rsidP="005228D0">
            <w:r>
              <w:t>FDP/Mitte</w:t>
            </w:r>
          </w:p>
        </w:tc>
        <w:tc>
          <w:tcPr>
            <w:tcW w:w="1941" w:type="pct"/>
          </w:tcPr>
          <w:p w14:paraId="323E414F" w14:textId="2AF2888F" w:rsidR="00271A22" w:rsidRPr="00B250C6" w:rsidRDefault="00271A22" w:rsidP="005228D0">
            <w:r w:rsidRPr="00271A22">
              <w:t>Alles Holz für den Bau des Kindergartens soll aus der Schweiz kommen, d.h. es muss in Schweizer Wälder gewachsen sein</w:t>
            </w:r>
            <w:r>
              <w:t>.</w:t>
            </w:r>
          </w:p>
        </w:tc>
        <w:tc>
          <w:tcPr>
            <w:tcW w:w="1973" w:type="pct"/>
          </w:tcPr>
          <w:p w14:paraId="30391D25" w14:textId="77777777" w:rsidR="00271A22" w:rsidRDefault="00271A22" w:rsidP="00271A22">
            <w:r>
              <w:t>Das Bauen mit Holz kann der Umwelt sogar mehr schaden, als sie zu erhalten – je nachdem, wo und wie der Rohstoff gewonnen wird. Holz ist nur ein nachhaltiger Baustoff, wenn folgende Voraussetzungen bei der Gewinnung des Materials berücksichtigt werden:</w:t>
            </w:r>
          </w:p>
          <w:p w14:paraId="1A1FEA63" w14:textId="2714103E" w:rsidR="00271A22" w:rsidRDefault="00271A22" w:rsidP="003C071A">
            <w:pPr>
              <w:pStyle w:val="Listenabsatz"/>
              <w:numPr>
                <w:ilvl w:val="0"/>
                <w:numId w:val="19"/>
              </w:numPr>
              <w:jc w:val="left"/>
            </w:pPr>
            <w:r>
              <w:t>wenn er regional produziert wird und lange Transportwege entfallen; vermeidet zusätzliche CO2 Belastung durch den Transport</w:t>
            </w:r>
          </w:p>
          <w:p w14:paraId="556F988D" w14:textId="4C2ADEA0" w:rsidR="00271A22" w:rsidRDefault="00271A22" w:rsidP="003C071A">
            <w:pPr>
              <w:pStyle w:val="Listenabsatz"/>
              <w:numPr>
                <w:ilvl w:val="0"/>
                <w:numId w:val="19"/>
              </w:numPr>
              <w:jc w:val="left"/>
            </w:pPr>
            <w:r>
              <w:t>wenn die Wälder, aus denen Holz geerntet wird, beständig und schonend aufgeforstet werden, d.h.:</w:t>
            </w:r>
          </w:p>
          <w:p w14:paraId="353C4917" w14:textId="60A9B59F" w:rsidR="00271A22" w:rsidRDefault="00271A22" w:rsidP="003C071A">
            <w:pPr>
              <w:pStyle w:val="Listenabsatz"/>
              <w:numPr>
                <w:ilvl w:val="1"/>
                <w:numId w:val="19"/>
              </w:numPr>
              <w:ind w:left="782"/>
              <w:jc w:val="left"/>
            </w:pPr>
            <w:r>
              <w:t>wenn ausschliesslich heimische Baumarten angepflanzt werden</w:t>
            </w:r>
          </w:p>
          <w:p w14:paraId="64CCD876" w14:textId="07284A49" w:rsidR="00271A22" w:rsidRDefault="00271A22" w:rsidP="003C071A">
            <w:pPr>
              <w:pStyle w:val="Listenabsatz"/>
              <w:numPr>
                <w:ilvl w:val="1"/>
                <w:numId w:val="19"/>
              </w:numPr>
              <w:ind w:left="782"/>
              <w:jc w:val="left"/>
            </w:pPr>
            <w:r>
              <w:t>wenn nicht alle Bäume gleichzeitig geschlagen werden und die Bäume unterschiedliche Wuchshöhen haben – diese bieten Schutz vor Umwelteinflüssen und sind eine Lebensgrundlage für vielfältige Arten</w:t>
            </w:r>
          </w:p>
          <w:p w14:paraId="2199104B" w14:textId="1AE15F2C" w:rsidR="00271A22" w:rsidRDefault="00271A22" w:rsidP="003C071A">
            <w:pPr>
              <w:pStyle w:val="Listenabsatz"/>
              <w:numPr>
                <w:ilvl w:val="1"/>
                <w:numId w:val="19"/>
              </w:numPr>
              <w:ind w:left="782"/>
              <w:jc w:val="left"/>
            </w:pPr>
            <w:r>
              <w:t xml:space="preserve">wenn auf den Einsatz von Pestiziden zur Schädlingsbekämpfung </w:t>
            </w:r>
            <w:proofErr w:type="gramStart"/>
            <w:r>
              <w:t>verzichtet</w:t>
            </w:r>
            <w:proofErr w:type="gramEnd"/>
            <w:r>
              <w:t xml:space="preserve"> wird</w:t>
            </w:r>
          </w:p>
          <w:p w14:paraId="0812D688" w14:textId="20BD12A8" w:rsidR="00271A22" w:rsidRDefault="00271A22" w:rsidP="003C071A">
            <w:pPr>
              <w:pStyle w:val="Listenabsatz"/>
              <w:numPr>
                <w:ilvl w:val="1"/>
                <w:numId w:val="19"/>
              </w:numPr>
              <w:ind w:left="782"/>
              <w:jc w:val="left"/>
            </w:pPr>
            <w:r>
              <w:t>wenn nicht mehr Holz geschlagen wird als nachwachsen kann</w:t>
            </w:r>
          </w:p>
          <w:p w14:paraId="195C3364" w14:textId="5AD3459D" w:rsidR="00271A22" w:rsidRPr="00B250C6" w:rsidRDefault="00271A22" w:rsidP="00271A22">
            <w:r>
              <w:t>Deshalb sollte das Holz aus der Region kommen, weil sich aber die Schweizer Holzwirtschaft in einer Strukturkrise befindet, ist es vertretbar, wenn das Holz aus der Schweiz, d.h. aus Schweizer Wälder kommt. Holz aus dem Ausland ist nicht nachhaltig – und generell sollte mit Holz sorgsam umgegangen werden (</w:t>
            </w:r>
            <w:hyperlink r:id="rId8" w:history="1">
              <w:r>
                <w:rPr>
                  <w:rStyle w:val="Hyperlink"/>
                </w:rPr>
                <w:t>http://www.wwf.de/themen-projekte/waelder/verantwortungsvollere-waldnutzung/alles-aus-holz</w:t>
              </w:r>
            </w:hyperlink>
            <w:r>
              <w:t>).</w:t>
            </w:r>
          </w:p>
        </w:tc>
      </w:tr>
      <w:tr w:rsidR="00271A22" w:rsidRPr="0035578B" w14:paraId="6E68B64B" w14:textId="77777777" w:rsidTr="005228D0">
        <w:tc>
          <w:tcPr>
            <w:tcW w:w="250" w:type="pct"/>
          </w:tcPr>
          <w:p w14:paraId="1FB491AE" w14:textId="77777777" w:rsidR="00271A22" w:rsidRDefault="00271A22" w:rsidP="00271A22">
            <w:pPr>
              <w:pStyle w:val="Listenabsatz"/>
              <w:numPr>
                <w:ilvl w:val="0"/>
                <w:numId w:val="18"/>
              </w:numPr>
            </w:pPr>
          </w:p>
        </w:tc>
        <w:tc>
          <w:tcPr>
            <w:tcW w:w="836" w:type="pct"/>
          </w:tcPr>
          <w:p w14:paraId="6D458E6F" w14:textId="6DC19451" w:rsidR="00271A22" w:rsidRDefault="00271A22" w:rsidP="005228D0">
            <w:r>
              <w:t>FDP</w:t>
            </w:r>
          </w:p>
        </w:tc>
        <w:tc>
          <w:tcPr>
            <w:tcW w:w="1941" w:type="pct"/>
          </w:tcPr>
          <w:p w14:paraId="20762A71" w14:textId="1705AA1A" w:rsidR="00271A22" w:rsidRPr="00B250C6" w:rsidRDefault="00271A22" w:rsidP="005228D0">
            <w:r w:rsidRPr="00271A22">
              <w:t>Alles Holz, welches für den Bau des Kindergartens verwendet wird, darf nicht chemisch behandelt sein.</w:t>
            </w:r>
          </w:p>
        </w:tc>
        <w:tc>
          <w:tcPr>
            <w:tcW w:w="1973" w:type="pct"/>
          </w:tcPr>
          <w:p w14:paraId="7046FD1A" w14:textId="27972B78" w:rsidR="00271A22" w:rsidRPr="00B250C6" w:rsidRDefault="00271A22" w:rsidP="005228D0">
            <w:r w:rsidRPr="00271A22">
              <w:t>Chemisch behandeltes Holz kann nicht recycelt werden. Wegen der Belastung kann es nur in Öfen mit Kohlenstofffiltern verbrannt werden – ein klassisches Downcycling – und somit entspricht die Verwendung von chemisch behandeltem Holz nicht der Klimastrategie</w:t>
            </w:r>
            <w:r>
              <w:t>.</w:t>
            </w:r>
          </w:p>
        </w:tc>
      </w:tr>
    </w:tbl>
    <w:p w14:paraId="2B9E5CA7" w14:textId="77777777" w:rsidR="000048B8" w:rsidRDefault="000048B8" w:rsidP="000048B8"/>
    <w:sectPr w:rsidR="000048B8" w:rsidSect="009017A7">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72305" w14:textId="77777777" w:rsidR="00CF7F58" w:rsidRDefault="00CF7F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1A4B2" w14:textId="77777777" w:rsidR="00CF7F58" w:rsidRDefault="00CF7F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9BED5" w14:textId="77777777" w:rsidR="00CF7F58" w:rsidRDefault="00CF7F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E5B2E"/>
    <w:multiLevelType w:val="hybridMultilevel"/>
    <w:tmpl w:val="7CF09D7A"/>
    <w:lvl w:ilvl="0" w:tplc="6A1C28CC">
      <w:numFmt w:val="bullet"/>
      <w:lvlText w:val="•"/>
      <w:lvlJc w:val="left"/>
      <w:pPr>
        <w:ind w:left="1065" w:hanging="705"/>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75212EB"/>
    <w:multiLevelType w:val="multilevel"/>
    <w:tmpl w:val="3240085A"/>
    <w:numStyleLink w:val="AUFZRot"/>
  </w:abstractNum>
  <w:abstractNum w:abstractNumId="2"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B4260B9"/>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5"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3CD70CE"/>
    <w:multiLevelType w:val="hybridMultilevel"/>
    <w:tmpl w:val="564E58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A6F610C"/>
    <w:multiLevelType w:val="multilevel"/>
    <w:tmpl w:val="3E92B728"/>
    <w:numStyleLink w:val="AUFZGRAU"/>
  </w:abstractNum>
  <w:abstractNum w:abstractNumId="8"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0" w15:restartNumberingAfterBreak="0">
    <w:nsid w:val="4198256A"/>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4" w15:restartNumberingAfterBreak="0">
    <w:nsid w:val="55F97982"/>
    <w:multiLevelType w:val="multilevel"/>
    <w:tmpl w:val="006EE2DC"/>
    <w:numStyleLink w:val="AUFZSCHWARZ"/>
  </w:abstractNum>
  <w:abstractNum w:abstractNumId="15"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DFA2D35"/>
    <w:multiLevelType w:val="hybridMultilevel"/>
    <w:tmpl w:val="29ECC8E0"/>
    <w:lvl w:ilvl="0" w:tplc="08070005">
      <w:start w:val="1"/>
      <w:numFmt w:val="bullet"/>
      <w:lvlText w:val=""/>
      <w:lvlJc w:val="left"/>
      <w:pPr>
        <w:ind w:left="360" w:hanging="360"/>
      </w:pPr>
      <w:rPr>
        <w:rFonts w:ascii="Wingdings" w:hAnsi="Wingding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788204254">
    <w:abstractNumId w:val="13"/>
  </w:num>
  <w:num w:numId="2" w16cid:durableId="26762586">
    <w:abstractNumId w:val="9"/>
  </w:num>
  <w:num w:numId="3" w16cid:durableId="804664702">
    <w:abstractNumId w:val="4"/>
  </w:num>
  <w:num w:numId="4" w16cid:durableId="1589272785">
    <w:abstractNumId w:val="14"/>
  </w:num>
  <w:num w:numId="5" w16cid:durableId="827788269">
    <w:abstractNumId w:val="7"/>
  </w:num>
  <w:num w:numId="6" w16cid:durableId="1222671307">
    <w:abstractNumId w:val="1"/>
  </w:num>
  <w:num w:numId="7" w16cid:durableId="272446662">
    <w:abstractNumId w:val="11"/>
  </w:num>
  <w:num w:numId="8" w16cid:durableId="527446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2"/>
  </w:num>
  <w:num w:numId="10" w16cid:durableId="1624537535">
    <w:abstractNumId w:val="16"/>
  </w:num>
  <w:num w:numId="11" w16cid:durableId="1621296996">
    <w:abstractNumId w:val="5"/>
  </w:num>
  <w:num w:numId="12" w16cid:durableId="1451624990">
    <w:abstractNumId w:val="18"/>
  </w:num>
  <w:num w:numId="13" w16cid:durableId="1903321324">
    <w:abstractNumId w:val="8"/>
  </w:num>
  <w:num w:numId="14" w16cid:durableId="575557532">
    <w:abstractNumId w:val="12"/>
  </w:num>
  <w:num w:numId="15" w16cid:durableId="235240003">
    <w:abstractNumId w:val="15"/>
  </w:num>
  <w:num w:numId="16" w16cid:durableId="419762893">
    <w:abstractNumId w:val="6"/>
  </w:num>
  <w:num w:numId="17" w16cid:durableId="231697395">
    <w:abstractNumId w:val="10"/>
  </w:num>
  <w:num w:numId="18" w16cid:durableId="1450902659">
    <w:abstractNumId w:val="3"/>
  </w:num>
  <w:num w:numId="19" w16cid:durableId="1054088953">
    <w:abstractNumId w:val="19"/>
  </w:num>
  <w:num w:numId="20" w16cid:durableId="1319502398">
    <w:abstractNumId w:val="0"/>
  </w:num>
  <w:num w:numId="21" w16cid:durableId="215552422">
    <w:abstractNumId w:val="11"/>
  </w:num>
  <w:num w:numId="22" w16cid:durableId="112172555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32302"/>
    <w:rsid w:val="00034080"/>
    <w:rsid w:val="00066D1C"/>
    <w:rsid w:val="00066D46"/>
    <w:rsid w:val="00076FB7"/>
    <w:rsid w:val="000773CE"/>
    <w:rsid w:val="00077C95"/>
    <w:rsid w:val="00090C22"/>
    <w:rsid w:val="000C3261"/>
    <w:rsid w:val="000F7A38"/>
    <w:rsid w:val="000F7DBC"/>
    <w:rsid w:val="00110543"/>
    <w:rsid w:val="0013570E"/>
    <w:rsid w:val="00145C42"/>
    <w:rsid w:val="0015428A"/>
    <w:rsid w:val="001E2C87"/>
    <w:rsid w:val="002257FC"/>
    <w:rsid w:val="0023211B"/>
    <w:rsid w:val="002331B7"/>
    <w:rsid w:val="00241356"/>
    <w:rsid w:val="00244890"/>
    <w:rsid w:val="00265FDA"/>
    <w:rsid w:val="00271A22"/>
    <w:rsid w:val="00275776"/>
    <w:rsid w:val="00294F07"/>
    <w:rsid w:val="00296E99"/>
    <w:rsid w:val="002D0DBC"/>
    <w:rsid w:val="002D683A"/>
    <w:rsid w:val="00313B30"/>
    <w:rsid w:val="00316A56"/>
    <w:rsid w:val="0033603F"/>
    <w:rsid w:val="003730B7"/>
    <w:rsid w:val="003737AE"/>
    <w:rsid w:val="00382989"/>
    <w:rsid w:val="00390560"/>
    <w:rsid w:val="00393F3D"/>
    <w:rsid w:val="003A31B2"/>
    <w:rsid w:val="003C071A"/>
    <w:rsid w:val="003F37FF"/>
    <w:rsid w:val="003F6FC5"/>
    <w:rsid w:val="003F74DE"/>
    <w:rsid w:val="00416672"/>
    <w:rsid w:val="004425BD"/>
    <w:rsid w:val="004431B2"/>
    <w:rsid w:val="00453E24"/>
    <w:rsid w:val="00462958"/>
    <w:rsid w:val="004720D0"/>
    <w:rsid w:val="00492175"/>
    <w:rsid w:val="004A3C1E"/>
    <w:rsid w:val="004D0D62"/>
    <w:rsid w:val="004E23B3"/>
    <w:rsid w:val="004F196F"/>
    <w:rsid w:val="00506509"/>
    <w:rsid w:val="00526EA9"/>
    <w:rsid w:val="00541557"/>
    <w:rsid w:val="005539FA"/>
    <w:rsid w:val="005556D0"/>
    <w:rsid w:val="00566090"/>
    <w:rsid w:val="005669D2"/>
    <w:rsid w:val="0057114F"/>
    <w:rsid w:val="005850A6"/>
    <w:rsid w:val="005B54F0"/>
    <w:rsid w:val="005D4866"/>
    <w:rsid w:val="005D4A9C"/>
    <w:rsid w:val="005F666B"/>
    <w:rsid w:val="00603F59"/>
    <w:rsid w:val="006216BE"/>
    <w:rsid w:val="00692F1B"/>
    <w:rsid w:val="006A6369"/>
    <w:rsid w:val="006A74E0"/>
    <w:rsid w:val="006A750F"/>
    <w:rsid w:val="006C1CCC"/>
    <w:rsid w:val="006E58FB"/>
    <w:rsid w:val="006F4F98"/>
    <w:rsid w:val="006F709D"/>
    <w:rsid w:val="007609DA"/>
    <w:rsid w:val="0076632B"/>
    <w:rsid w:val="00766851"/>
    <w:rsid w:val="00771473"/>
    <w:rsid w:val="00774038"/>
    <w:rsid w:val="00780A3E"/>
    <w:rsid w:val="00786A08"/>
    <w:rsid w:val="00795CAB"/>
    <w:rsid w:val="007963FF"/>
    <w:rsid w:val="007C1939"/>
    <w:rsid w:val="007D2F89"/>
    <w:rsid w:val="007D6888"/>
    <w:rsid w:val="007F18C8"/>
    <w:rsid w:val="00821955"/>
    <w:rsid w:val="00836238"/>
    <w:rsid w:val="00861909"/>
    <w:rsid w:val="00881283"/>
    <w:rsid w:val="008B6E74"/>
    <w:rsid w:val="008C6989"/>
    <w:rsid w:val="008D11E3"/>
    <w:rsid w:val="008E2B70"/>
    <w:rsid w:val="008F2605"/>
    <w:rsid w:val="009017A7"/>
    <w:rsid w:val="00903044"/>
    <w:rsid w:val="00931BD1"/>
    <w:rsid w:val="00945433"/>
    <w:rsid w:val="009510C5"/>
    <w:rsid w:val="0095284B"/>
    <w:rsid w:val="009C0D41"/>
    <w:rsid w:val="009C543F"/>
    <w:rsid w:val="009D2061"/>
    <w:rsid w:val="009D796A"/>
    <w:rsid w:val="009E0F19"/>
    <w:rsid w:val="009E47B2"/>
    <w:rsid w:val="009F37DC"/>
    <w:rsid w:val="00A04FD6"/>
    <w:rsid w:val="00A17AA9"/>
    <w:rsid w:val="00A634FE"/>
    <w:rsid w:val="00AA05F6"/>
    <w:rsid w:val="00AA3403"/>
    <w:rsid w:val="00AC588A"/>
    <w:rsid w:val="00AC609E"/>
    <w:rsid w:val="00AD011B"/>
    <w:rsid w:val="00AE68D7"/>
    <w:rsid w:val="00B04571"/>
    <w:rsid w:val="00B04987"/>
    <w:rsid w:val="00B250C6"/>
    <w:rsid w:val="00B35CB5"/>
    <w:rsid w:val="00B47A10"/>
    <w:rsid w:val="00B54B84"/>
    <w:rsid w:val="00B7110B"/>
    <w:rsid w:val="00B8280E"/>
    <w:rsid w:val="00B8581F"/>
    <w:rsid w:val="00BD195E"/>
    <w:rsid w:val="00BF5C9E"/>
    <w:rsid w:val="00C17A2E"/>
    <w:rsid w:val="00C31A7C"/>
    <w:rsid w:val="00C31C9F"/>
    <w:rsid w:val="00C37069"/>
    <w:rsid w:val="00C51C2B"/>
    <w:rsid w:val="00C52383"/>
    <w:rsid w:val="00CA413A"/>
    <w:rsid w:val="00CC4A74"/>
    <w:rsid w:val="00CD0480"/>
    <w:rsid w:val="00CD5E3C"/>
    <w:rsid w:val="00CE0829"/>
    <w:rsid w:val="00CE62ED"/>
    <w:rsid w:val="00CF2429"/>
    <w:rsid w:val="00CF7F58"/>
    <w:rsid w:val="00D10476"/>
    <w:rsid w:val="00D35B72"/>
    <w:rsid w:val="00D86C68"/>
    <w:rsid w:val="00DA423C"/>
    <w:rsid w:val="00DA4C07"/>
    <w:rsid w:val="00DB05AD"/>
    <w:rsid w:val="00DC592B"/>
    <w:rsid w:val="00DD034E"/>
    <w:rsid w:val="00DD299C"/>
    <w:rsid w:val="00DE77C1"/>
    <w:rsid w:val="00E240D0"/>
    <w:rsid w:val="00E56F9E"/>
    <w:rsid w:val="00E634D9"/>
    <w:rsid w:val="00EA1686"/>
    <w:rsid w:val="00EA63E1"/>
    <w:rsid w:val="00EB7E1E"/>
    <w:rsid w:val="00EC746A"/>
    <w:rsid w:val="00EE3A17"/>
    <w:rsid w:val="00EF337D"/>
    <w:rsid w:val="00F31950"/>
    <w:rsid w:val="00F343FC"/>
    <w:rsid w:val="00F55794"/>
    <w:rsid w:val="00F73D44"/>
    <w:rsid w:val="00F73E62"/>
    <w:rsid w:val="00F757DE"/>
    <w:rsid w:val="00F80AA5"/>
    <w:rsid w:val="00F816B6"/>
    <w:rsid w:val="00F903E9"/>
    <w:rsid w:val="00F947E6"/>
    <w:rsid w:val="00F9487E"/>
    <w:rsid w:val="00FB6865"/>
    <w:rsid w:val="00FC2B60"/>
    <w:rsid w:val="00FC68C9"/>
    <w:rsid w:val="00FC7054"/>
    <w:rsid w:val="00FD0A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table" w:customStyle="1" w:styleId="Tabellenraster1">
    <w:name w:val="Tabellenraster1"/>
    <w:basedOn w:val="NormaleTabelle"/>
    <w:next w:val="Tabellenraster"/>
    <w:rsid w:val="006216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250C6"/>
    <w:pPr>
      <w:spacing w:line="240" w:lineRule="auto"/>
    </w:pPr>
    <w:rPr>
      <w:rFonts w:asciiTheme="minorHAnsi" w:hAnsiTheme="minorHAnsi"/>
    </w:rPr>
  </w:style>
  <w:style w:type="character" w:styleId="Hyperlink">
    <w:name w:val="Hyperlink"/>
    <w:basedOn w:val="Absatz-Standardschriftart"/>
    <w:unhideWhenUsed/>
    <w:rsid w:val="00271A22"/>
    <w:rPr>
      <w:color w:val="000000" w:themeColor="hyperlink"/>
      <w:u w:val="single"/>
    </w:rPr>
  </w:style>
  <w:style w:type="character" w:styleId="NichtaufgelsteErwhnung">
    <w:name w:val="Unresolved Mention"/>
    <w:basedOn w:val="Absatz-Standardschriftart"/>
    <w:uiPriority w:val="99"/>
    <w:semiHidden/>
    <w:unhideWhenUsed/>
    <w:rsid w:val="00271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wf.de/themen-projekte/waelder/verantwortungsvollere-waldnutzung/alles-aus-hol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1766</Words>
  <Characters>12021</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RS</cp:lastModifiedBy>
  <cp:revision>28</cp:revision>
  <dcterms:created xsi:type="dcterms:W3CDTF">2019-01-11T14:41:00Z</dcterms:created>
  <dcterms:modified xsi:type="dcterms:W3CDTF">2024-11-21T10:33:00Z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