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68B9956F"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w:t>
      </w:r>
      <w:r w:rsidR="007F18C8">
        <w:rPr>
          <w:rStyle w:val="berschrift2Zchn"/>
          <w:color w:val="656567" w:themeColor="text2" w:themeShade="BF"/>
        </w:rPr>
        <w:t xml:space="preserve">Stand </w:t>
      </w:r>
      <w:r w:rsidR="00264200">
        <w:rPr>
          <w:rStyle w:val="berschrift2Zchn"/>
          <w:color w:val="656567" w:themeColor="text2" w:themeShade="BF"/>
        </w:rPr>
        <w:t>05.11.</w:t>
      </w:r>
      <w:r w:rsidR="002625B0">
        <w:rPr>
          <w:b w:val="0"/>
          <w:bCs/>
          <w:sz w:val="22"/>
          <w:szCs w:val="26"/>
        </w:rPr>
        <w:t>2025</w:t>
      </w:r>
      <w:r w:rsidR="00453E24">
        <w:rPr>
          <w:rStyle w:val="berschrift2Zchn"/>
          <w:color w:val="656567" w:themeColor="text2" w:themeShade="BF"/>
        </w:rPr>
        <w:t xml:space="preserve">, </w:t>
      </w:r>
      <w:r w:rsidR="00866FC2">
        <w:rPr>
          <w:rStyle w:val="berschrift2Zchn"/>
          <w:color w:val="656567" w:themeColor="text2" w:themeShade="BF"/>
        </w:rPr>
        <w:t>1</w:t>
      </w:r>
      <w:r w:rsidR="0063454F">
        <w:rPr>
          <w:rStyle w:val="berschrift2Zchn"/>
          <w:color w:val="656567" w:themeColor="text2" w:themeShade="BF"/>
        </w:rPr>
        <w:t>5</w:t>
      </w:r>
      <w:r w:rsidR="00264200">
        <w:rPr>
          <w:rStyle w:val="berschrift2Zchn"/>
          <w:color w:val="656567" w:themeColor="text2" w:themeShade="BF"/>
        </w:rPr>
        <w:t>.00</w:t>
      </w:r>
      <w:r w:rsidR="007F18C8">
        <w:rPr>
          <w:rStyle w:val="berschrift2Zchn"/>
          <w:color w:val="656567" w:themeColor="text2" w:themeShade="BF"/>
        </w:rPr>
        <w:t xml:space="preserve"> </w:t>
      </w:r>
      <w:r w:rsidR="007F18C8">
        <w:rPr>
          <w:rStyle w:val="berschrift2Zchn"/>
          <w:color w:val="656567" w:themeColor="text2" w:themeShade="BF"/>
        </w:rPr>
        <w:t>Uhr</w:t>
      </w:r>
      <w:r w:rsidR="00453E24" w:rsidRPr="00453E24">
        <w:rPr>
          <w:rStyle w:val="berschrift2Zchn"/>
          <w:color w:val="656567" w:themeColor="text2" w:themeShade="BF"/>
        </w:rPr>
        <w:t>)</w:t>
      </w:r>
    </w:p>
    <w:p w14:paraId="0902AC1D" w14:textId="0622C5E0" w:rsidR="009C0D41" w:rsidRDefault="00CD5E3C" w:rsidP="00453E24">
      <w:pPr>
        <w:pStyle w:val="Untertitel"/>
      </w:pPr>
      <w:r>
        <w:t xml:space="preserve">Stadtratssitzung vom </w:t>
      </w:r>
      <w:r w:rsidR="002625B0">
        <w:t>6. November 2025</w:t>
      </w:r>
    </w:p>
    <w:p w14:paraId="13ED9045" w14:textId="1F00A8C1" w:rsidR="00706CB1" w:rsidRDefault="00706CB1" w:rsidP="00706CB1">
      <w:pPr>
        <w:pStyle w:val="berschrift3"/>
      </w:pPr>
      <w:r>
        <w:t xml:space="preserve">Traktandum 8: Gesamtsanierung </w:t>
      </w:r>
      <w:proofErr w:type="spellStart"/>
      <w:r>
        <w:t>Seftausteg</w:t>
      </w:r>
      <w:proofErr w:type="spellEnd"/>
      <w:r>
        <w:t xml:space="preserve"> (2024.TVS.0052)</w:t>
      </w:r>
    </w:p>
    <w:tbl>
      <w:tblPr>
        <w:tblStyle w:val="Tabellenraster"/>
        <w:tblW w:w="5000" w:type="pct"/>
        <w:tblLook w:val="04A0" w:firstRow="1" w:lastRow="0" w:firstColumn="1" w:lastColumn="0" w:noHBand="0" w:noVBand="1"/>
      </w:tblPr>
      <w:tblGrid>
        <w:gridCol w:w="676"/>
        <w:gridCol w:w="2259"/>
        <w:gridCol w:w="5245"/>
        <w:gridCol w:w="5331"/>
      </w:tblGrid>
      <w:tr w:rsidR="00706CB1" w14:paraId="6CEA75E7" w14:textId="77777777" w:rsidTr="00E01FB5">
        <w:trPr>
          <w:tblHeader/>
        </w:trPr>
        <w:tc>
          <w:tcPr>
            <w:tcW w:w="250" w:type="pct"/>
            <w:tcBorders>
              <w:top w:val="single" w:sz="4" w:space="0" w:color="auto"/>
              <w:left w:val="single" w:sz="4" w:space="0" w:color="auto"/>
              <w:bottom w:val="single" w:sz="4" w:space="0" w:color="auto"/>
              <w:right w:val="single" w:sz="4" w:space="0" w:color="auto"/>
            </w:tcBorders>
            <w:hideMark/>
          </w:tcPr>
          <w:p w14:paraId="1BC45992" w14:textId="77777777" w:rsidR="00706CB1" w:rsidRDefault="00706CB1" w:rsidP="00E01FB5">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6ACF9D9" w14:textId="77777777" w:rsidR="00706CB1" w:rsidRDefault="00706CB1" w:rsidP="00E01FB5">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44F9E26F" w14:textId="77777777" w:rsidR="00706CB1" w:rsidRDefault="00706CB1" w:rsidP="00E01FB5">
            <w:pPr>
              <w:pStyle w:val="berschrift3"/>
            </w:pPr>
            <w:r>
              <w:t>Antrag</w:t>
            </w:r>
          </w:p>
          <w:p w14:paraId="417085AE" w14:textId="77777777" w:rsidR="00706CB1" w:rsidRDefault="00706CB1" w:rsidP="00E01FB5"/>
        </w:tc>
        <w:tc>
          <w:tcPr>
            <w:tcW w:w="1973" w:type="pct"/>
            <w:tcBorders>
              <w:top w:val="single" w:sz="4" w:space="0" w:color="auto"/>
              <w:left w:val="single" w:sz="4" w:space="0" w:color="auto"/>
              <w:bottom w:val="single" w:sz="4" w:space="0" w:color="auto"/>
              <w:right w:val="single" w:sz="4" w:space="0" w:color="auto"/>
            </w:tcBorders>
            <w:hideMark/>
          </w:tcPr>
          <w:p w14:paraId="14C53762" w14:textId="77777777" w:rsidR="00706CB1" w:rsidRDefault="00706CB1" w:rsidP="00E01FB5">
            <w:pPr>
              <w:pStyle w:val="berschrift3"/>
            </w:pPr>
            <w:r>
              <w:t>Begründung</w:t>
            </w:r>
          </w:p>
        </w:tc>
      </w:tr>
      <w:tr w:rsidR="00706CB1" w14:paraId="32542388" w14:textId="77777777" w:rsidTr="00E01FB5">
        <w:tc>
          <w:tcPr>
            <w:tcW w:w="250" w:type="pct"/>
          </w:tcPr>
          <w:p w14:paraId="79BA0DCF" w14:textId="77777777" w:rsidR="00706CB1" w:rsidRDefault="00706CB1" w:rsidP="00E01FB5">
            <w:pPr>
              <w:pStyle w:val="Listenabsatz"/>
              <w:numPr>
                <w:ilvl w:val="0"/>
                <w:numId w:val="8"/>
              </w:numPr>
            </w:pPr>
          </w:p>
        </w:tc>
        <w:tc>
          <w:tcPr>
            <w:tcW w:w="836" w:type="pct"/>
          </w:tcPr>
          <w:p w14:paraId="71B0B7CE" w14:textId="45D278C6" w:rsidR="00706CB1" w:rsidRDefault="00706CB1" w:rsidP="00E01FB5">
            <w:r>
              <w:t>SVP</w:t>
            </w:r>
          </w:p>
        </w:tc>
        <w:tc>
          <w:tcPr>
            <w:tcW w:w="1941" w:type="pct"/>
          </w:tcPr>
          <w:p w14:paraId="30D3ECA5" w14:textId="47D5B5E0" w:rsidR="00706CB1" w:rsidRPr="001B034E" w:rsidRDefault="00706CB1" w:rsidP="00E01FB5">
            <w:r w:rsidRPr="001B034E">
              <w:t>Rückweisung:</w:t>
            </w:r>
          </w:p>
          <w:p w14:paraId="2388528C" w14:textId="06170CA7" w:rsidR="00706CB1" w:rsidRDefault="00E479F1" w:rsidP="00E01FB5">
            <w:r>
              <w:t>Die Vorlage sei an den Gemeinderat zurückzuweisen unter der Auflage, dem Stadtrat ein günstigeres Projekt vorzulegen, dabei zu prüfen, verschiedene Unternehmungen anzuschreiben, resp</w:t>
            </w:r>
            <w:r w:rsidR="001B034E">
              <w:t>ektive</w:t>
            </w:r>
            <w:r>
              <w:t xml:space="preserve"> zur </w:t>
            </w:r>
            <w:proofErr w:type="spellStart"/>
            <w:r>
              <w:t>Offertstellung</w:t>
            </w:r>
            <w:proofErr w:type="spellEnd"/>
            <w:r>
              <w:t xml:space="preserve"> einzuladen.</w:t>
            </w:r>
          </w:p>
        </w:tc>
        <w:tc>
          <w:tcPr>
            <w:tcW w:w="1973" w:type="pct"/>
          </w:tcPr>
          <w:p w14:paraId="6347605B" w14:textId="66EF06A4" w:rsidR="00BD1476" w:rsidRDefault="00BD1476" w:rsidP="00BD1476">
            <w:r>
              <w:t xml:space="preserve">Die SVP spricht sich grundsätzlich für </w:t>
            </w:r>
            <w:r w:rsidR="001B034E">
              <w:t xml:space="preserve">die </w:t>
            </w:r>
            <w:r>
              <w:t xml:space="preserve">Sanierung </w:t>
            </w:r>
            <w:proofErr w:type="spellStart"/>
            <w:r>
              <w:t>Seftausteg</w:t>
            </w:r>
            <w:proofErr w:type="spellEnd"/>
            <w:r>
              <w:t xml:space="preserve"> aus.</w:t>
            </w:r>
          </w:p>
          <w:p w14:paraId="29FDB440" w14:textId="4249DCE9" w:rsidR="00BD1476" w:rsidRDefault="00BD1476" w:rsidP="00BD1476">
            <w:r>
              <w:t xml:space="preserve">Die Kosten für die Sanierung sind </w:t>
            </w:r>
            <w:r w:rsidR="001B034E">
              <w:t xml:space="preserve">jedoch </w:t>
            </w:r>
            <w:r>
              <w:t>viel zu hoch. Es rächt sich, dass nur ein Angebot vorliegt.</w:t>
            </w:r>
          </w:p>
          <w:p w14:paraId="3FD39050" w14:textId="4034EDF4" w:rsidR="00706CB1" w:rsidRDefault="00BD1476" w:rsidP="00BD1476">
            <w:r>
              <w:t xml:space="preserve">Durch die Rückweisung und Ausschreibung/Einladung zur </w:t>
            </w:r>
            <w:proofErr w:type="spellStart"/>
            <w:r>
              <w:t>Offertstellung</w:t>
            </w:r>
            <w:proofErr w:type="spellEnd"/>
            <w:r>
              <w:t xml:space="preserve"> sollte dies verbessert werden.</w:t>
            </w:r>
          </w:p>
        </w:tc>
      </w:tr>
    </w:tbl>
    <w:p w14:paraId="469186BD" w14:textId="2EF3501C" w:rsidR="00AA05F6" w:rsidRDefault="00AA05F6" w:rsidP="00AA05F6">
      <w:pPr>
        <w:pStyle w:val="berschrift3"/>
      </w:pPr>
      <w:r>
        <w:t xml:space="preserve">Traktandum </w:t>
      </w:r>
      <w:r w:rsidR="006D188A">
        <w:t>1</w:t>
      </w:r>
      <w:r>
        <w:rPr>
          <w:rFonts w:cstheme="majorHAnsi"/>
        </w:rPr>
        <w:t>0</w:t>
      </w:r>
      <w:r>
        <w:t xml:space="preserve">: </w:t>
      </w:r>
      <w:r w:rsidR="006D188A" w:rsidRPr="006D188A">
        <w:t xml:space="preserve">Containerpflicht: Angepasstes Konzept und Kredit; Genehmigung </w:t>
      </w:r>
      <w:r>
        <w:t>(</w:t>
      </w:r>
      <w:r w:rsidR="006D188A">
        <w:rPr>
          <w:rFonts w:cstheme="majorHAnsi"/>
        </w:rPr>
        <w:t>2025.SR.0330)</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6D188A">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D77991">
            <w:pPr>
              <w:pStyle w:val="berschrift3"/>
            </w:pPr>
            <w:r>
              <w:t>Antrag</w:t>
            </w:r>
          </w:p>
          <w:p w14:paraId="240F40E0" w14:textId="77777777" w:rsidR="00795CAB" w:rsidRDefault="00795CAB" w:rsidP="00D77991"/>
        </w:tc>
        <w:tc>
          <w:tcPr>
            <w:tcW w:w="1973"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D77991">
            <w:pPr>
              <w:pStyle w:val="berschrift3"/>
            </w:pPr>
            <w:r>
              <w:t>Begründung</w:t>
            </w:r>
          </w:p>
        </w:tc>
      </w:tr>
      <w:tr w:rsidR="006D188A" w14:paraId="40D16A23" w14:textId="77777777" w:rsidTr="006D188A">
        <w:tc>
          <w:tcPr>
            <w:tcW w:w="250" w:type="pct"/>
          </w:tcPr>
          <w:p w14:paraId="5202EC25" w14:textId="77777777" w:rsidR="006D188A" w:rsidRDefault="006D188A" w:rsidP="001B034E">
            <w:pPr>
              <w:pStyle w:val="Listenabsatz"/>
              <w:numPr>
                <w:ilvl w:val="0"/>
                <w:numId w:val="20"/>
              </w:numPr>
            </w:pPr>
          </w:p>
        </w:tc>
        <w:tc>
          <w:tcPr>
            <w:tcW w:w="836" w:type="pct"/>
          </w:tcPr>
          <w:p w14:paraId="552A2A32" w14:textId="77777777" w:rsidR="006D188A" w:rsidRDefault="006D188A" w:rsidP="00F57E4E">
            <w:r>
              <w:t>PVS</w:t>
            </w:r>
          </w:p>
        </w:tc>
        <w:tc>
          <w:tcPr>
            <w:tcW w:w="1941" w:type="pct"/>
          </w:tcPr>
          <w:p w14:paraId="4DA1A970" w14:textId="77777777" w:rsidR="006D188A" w:rsidRDefault="006D188A" w:rsidP="00F57E4E">
            <w:r w:rsidRPr="005152BB">
              <w:t xml:space="preserve">Es ist zu prüfen, dass öffentliche Containerstandplätze und Bereitstellungsplätze im Strassenraum und nicht auf dem Trottoir vorgesehen </w:t>
            </w:r>
            <w:r>
              <w:t xml:space="preserve">werden </w:t>
            </w:r>
            <w:r w:rsidRPr="005152BB">
              <w:t xml:space="preserve">bzw. </w:t>
            </w:r>
            <w:r>
              <w:t xml:space="preserve">dass Plätze im Strassenraum </w:t>
            </w:r>
            <w:r w:rsidRPr="005152BB">
              <w:t>priorisiert werden</w:t>
            </w:r>
            <w:r>
              <w:t xml:space="preserve">. </w:t>
            </w:r>
          </w:p>
        </w:tc>
        <w:tc>
          <w:tcPr>
            <w:tcW w:w="1973" w:type="pct"/>
          </w:tcPr>
          <w:p w14:paraId="4DEE0F65" w14:textId="77777777" w:rsidR="006D188A" w:rsidRDefault="006D188A" w:rsidP="00F57E4E">
            <w:r w:rsidRPr="005152BB">
              <w:t>Hindernisfreie Trottoirs sind wichtig für die Sicherheit und Zugänglichkeit aller Fussgänger*innen. Deshalb sollen Bereitstellungs- und Containerstandplätze möglichst nicht auf dem Trottoir angeordnet werden, sondern im Strassenraum entstehen, wo dies ohne erhebliche Einschränkungen möglich ist.</w:t>
            </w:r>
          </w:p>
        </w:tc>
      </w:tr>
      <w:tr w:rsidR="006D188A" w14:paraId="26D544A6" w14:textId="77777777" w:rsidTr="006D188A">
        <w:tc>
          <w:tcPr>
            <w:tcW w:w="250" w:type="pct"/>
          </w:tcPr>
          <w:p w14:paraId="3CE18F64" w14:textId="77777777" w:rsidR="006D188A" w:rsidRDefault="006D188A" w:rsidP="001B034E">
            <w:pPr>
              <w:pStyle w:val="Listenabsatz"/>
              <w:numPr>
                <w:ilvl w:val="0"/>
                <w:numId w:val="20"/>
              </w:numPr>
            </w:pPr>
          </w:p>
        </w:tc>
        <w:tc>
          <w:tcPr>
            <w:tcW w:w="836" w:type="pct"/>
          </w:tcPr>
          <w:p w14:paraId="3446BE87" w14:textId="77777777" w:rsidR="006D188A" w:rsidRDefault="006D188A" w:rsidP="00F57E4E">
            <w:r>
              <w:t>PVS</w:t>
            </w:r>
          </w:p>
        </w:tc>
        <w:tc>
          <w:tcPr>
            <w:tcW w:w="1941" w:type="pct"/>
          </w:tcPr>
          <w:p w14:paraId="19081AA9" w14:textId="35507254" w:rsidR="006D188A" w:rsidRPr="005152BB" w:rsidRDefault="006D188A" w:rsidP="00F57E4E">
            <w:r w:rsidRPr="00032B21">
              <w:rPr>
                <w:bCs/>
              </w:rPr>
              <w:t>Bei zentralen Bereitstellungsplätzen</w:t>
            </w:r>
            <w:r>
              <w:rPr>
                <w:bCs/>
              </w:rPr>
              <w:t xml:space="preserve"> und Containerstandplätzen</w:t>
            </w:r>
            <w:r w:rsidRPr="00032B21">
              <w:rPr>
                <w:bCs/>
              </w:rPr>
              <w:t xml:space="preserve"> auf dem Trottoir ist die Einhaltung einer verbleibenden </w:t>
            </w:r>
            <w:proofErr w:type="spellStart"/>
            <w:r w:rsidRPr="00032B21">
              <w:rPr>
                <w:bCs/>
              </w:rPr>
              <w:t>Trottoirbreite</w:t>
            </w:r>
            <w:proofErr w:type="spellEnd"/>
            <w:r w:rsidRPr="00032B21">
              <w:rPr>
                <w:bCs/>
              </w:rPr>
              <w:t xml:space="preserve"> von mindestens 2.5m zu überprüfen</w:t>
            </w:r>
            <w:r>
              <w:rPr>
                <w:bCs/>
              </w:rPr>
              <w:t>.</w:t>
            </w:r>
          </w:p>
        </w:tc>
        <w:tc>
          <w:tcPr>
            <w:tcW w:w="1973" w:type="pct"/>
          </w:tcPr>
          <w:p w14:paraId="66F38229" w14:textId="434532F7" w:rsidR="006D188A" w:rsidRPr="005152BB" w:rsidRDefault="006D188A" w:rsidP="00F57E4E">
            <w:r w:rsidRPr="0083617D">
              <w:t xml:space="preserve">Hindernisfreie Trottoirs sind wichtig für die Sicherheit und Zugänglichkeit aller Fussgänger*innen. Deshalb sollen Bereitstellungs- und Containerstandplätze möglichst nicht auf dem Trottoir angeordnet werden, sondern im Strassenraum entstehen, wo dies ohne erhebliche Einschränkungen möglich ist. Falls eine Anordnung auf dem Trottoir dennoch unvermeidbar ist, muss die verbleibende nutzbare </w:t>
            </w:r>
            <w:proofErr w:type="spellStart"/>
            <w:r w:rsidR="001B034E" w:rsidRPr="0083617D">
              <w:t>Trottoirbreite</w:t>
            </w:r>
            <w:proofErr w:type="spellEnd"/>
            <w:r w:rsidRPr="0083617D">
              <w:t xml:space="preserve"> mindestens 2.5 m betragen, damit die Sicherheit und Zugänglichkeit weiterhin gewährleistet bleibt</w:t>
            </w:r>
            <w:r>
              <w:t>.</w:t>
            </w:r>
          </w:p>
        </w:tc>
      </w:tr>
      <w:tr w:rsidR="0039016D" w14:paraId="64A91AF8" w14:textId="77777777" w:rsidTr="006D188A">
        <w:tc>
          <w:tcPr>
            <w:tcW w:w="250" w:type="pct"/>
          </w:tcPr>
          <w:p w14:paraId="07755EB4" w14:textId="77777777" w:rsidR="0039016D" w:rsidRDefault="0039016D" w:rsidP="00706CB1">
            <w:pPr>
              <w:pStyle w:val="Listenabsatz"/>
              <w:numPr>
                <w:ilvl w:val="0"/>
                <w:numId w:val="20"/>
              </w:numPr>
            </w:pPr>
          </w:p>
        </w:tc>
        <w:tc>
          <w:tcPr>
            <w:tcW w:w="836" w:type="pct"/>
          </w:tcPr>
          <w:p w14:paraId="3CBED929" w14:textId="73D91E63" w:rsidR="0039016D" w:rsidRDefault="0039016D" w:rsidP="00F57E4E">
            <w:r>
              <w:t>SVP</w:t>
            </w:r>
          </w:p>
        </w:tc>
        <w:tc>
          <w:tcPr>
            <w:tcW w:w="1941" w:type="pct"/>
          </w:tcPr>
          <w:p w14:paraId="009DD576" w14:textId="2A29A750" w:rsidR="0039016D" w:rsidRPr="00032B21" w:rsidRDefault="0074408A" w:rsidP="00F57E4E">
            <w:pPr>
              <w:rPr>
                <w:bCs/>
              </w:rPr>
            </w:pPr>
            <w:r w:rsidRPr="0074408A">
              <w:rPr>
                <w:bCs/>
              </w:rPr>
              <w:t>Die Containerpflicht sei auf Neubauquartiere zu beschränken.</w:t>
            </w:r>
          </w:p>
        </w:tc>
        <w:tc>
          <w:tcPr>
            <w:tcW w:w="1973" w:type="pct"/>
          </w:tcPr>
          <w:p w14:paraId="56E47246" w14:textId="10D55C5D" w:rsidR="0074408A" w:rsidRDefault="0074408A" w:rsidP="0074408A">
            <w:r>
              <w:t>Die Antragssteller unterstützen grundsätzlich die Containerpflicht in Neubauquartieren. Dagegen erweist sich die Durchsetzung der Containerpflicht nicht nur in der Altstadt, sondern auch in vielen anderen Quartieren als völlig unzweckmässig und nicht sinnvoll</w:t>
            </w:r>
            <w:r w:rsidR="001B034E">
              <w:t>.</w:t>
            </w:r>
          </w:p>
          <w:p w14:paraId="5A33F807" w14:textId="77777777" w:rsidR="0074408A" w:rsidRDefault="0074408A" w:rsidP="0074408A">
            <w:r>
              <w:t>@ «Barrierefreiheit»</w:t>
            </w:r>
          </w:p>
          <w:p w14:paraId="3BA71F71" w14:textId="320E7CA2" w:rsidR="0074408A" w:rsidRDefault="0074408A" w:rsidP="0074408A">
            <w:r>
              <w:t>Die Containerpflicht widerspricht -der Barrierefreiheit. Die Nachbarschaftshilfe findet ihre Grenzen</w:t>
            </w:r>
            <w:r w:rsidR="001B034E">
              <w:t>.</w:t>
            </w:r>
            <w:r>
              <w:t xml:space="preserve"> Regelmässige Hilfestellungen betr. Abfallentsorgung können nicht vorausgesetzt werden. Der</w:t>
            </w:r>
            <w:r w:rsidR="00DC70FF">
              <w:t>,</w:t>
            </w:r>
            <w:r>
              <w:t xml:space="preserve"> gemäss Bundesgericht zulässige Weg von 200-300 m zu einer Entsorgungsstelle kann nicht regelmässig dem Mitbewohner zugemutet werden (Ferienabwesenheiten etc.)</w:t>
            </w:r>
            <w:r w:rsidR="001B034E">
              <w:t>.</w:t>
            </w:r>
          </w:p>
          <w:p w14:paraId="393B41F8" w14:textId="1F8693F3" w:rsidR="0074408A" w:rsidRDefault="0074408A" w:rsidP="0074408A">
            <w:r>
              <w:t>@ «Ortsbild-Strassenbildschutz»</w:t>
            </w:r>
          </w:p>
          <w:p w14:paraId="12A1ECEB" w14:textId="07937ECB" w:rsidR="0074408A" w:rsidRDefault="0074408A" w:rsidP="0074408A">
            <w:r>
              <w:t>Am unteren Teil der Jubiläumsstrasse gibt es z.T. grosse Vorgärten, diese sind aber oberhalb der Strasse gelegen und würden den teuren Einbau eine</w:t>
            </w:r>
            <w:r w:rsidR="001B034E">
              <w:t>s</w:t>
            </w:r>
            <w:r>
              <w:t xml:space="preserve"> Containerlifts voraussetzen.</w:t>
            </w:r>
          </w:p>
          <w:p w14:paraId="00A1E9CB" w14:textId="38CE11B8" w:rsidR="0074408A" w:rsidRDefault="0074408A" w:rsidP="0074408A">
            <w:r>
              <w:t xml:space="preserve">In anderen Stadtteilen gibt es wiederum stattliche Häuser (z.B. </w:t>
            </w:r>
            <w:proofErr w:type="spellStart"/>
            <w:r>
              <w:t>Optingenstrasse</w:t>
            </w:r>
            <w:proofErr w:type="spellEnd"/>
            <w:r>
              <w:t>) aber ohne Vorgärten</w:t>
            </w:r>
            <w:r w:rsidR="006760B9">
              <w:t>.</w:t>
            </w:r>
          </w:p>
          <w:p w14:paraId="4212C1FF" w14:textId="37B9166C" w:rsidR="0039016D" w:rsidRPr="0083617D" w:rsidRDefault="0074408A" w:rsidP="0074408A">
            <w:r>
              <w:t>Das Quartier- und Strassenbild wir</w:t>
            </w:r>
            <w:r w:rsidR="006760B9">
              <w:t>d</w:t>
            </w:r>
            <w:r>
              <w:t xml:space="preserve"> durch die Container verschandelt.</w:t>
            </w:r>
          </w:p>
        </w:tc>
      </w:tr>
      <w:tr w:rsidR="0039016D" w14:paraId="045E57B8" w14:textId="77777777" w:rsidTr="006D188A">
        <w:tc>
          <w:tcPr>
            <w:tcW w:w="250" w:type="pct"/>
          </w:tcPr>
          <w:p w14:paraId="214D6ED7" w14:textId="77777777" w:rsidR="0039016D" w:rsidRDefault="0039016D" w:rsidP="00706CB1">
            <w:pPr>
              <w:pStyle w:val="Listenabsatz"/>
              <w:numPr>
                <w:ilvl w:val="0"/>
                <w:numId w:val="20"/>
              </w:numPr>
            </w:pPr>
          </w:p>
        </w:tc>
        <w:tc>
          <w:tcPr>
            <w:tcW w:w="836" w:type="pct"/>
          </w:tcPr>
          <w:p w14:paraId="32A1F1EB" w14:textId="4F8270D7" w:rsidR="0039016D" w:rsidRDefault="0039016D" w:rsidP="00F57E4E">
            <w:r>
              <w:t>SVP</w:t>
            </w:r>
          </w:p>
        </w:tc>
        <w:tc>
          <w:tcPr>
            <w:tcW w:w="1941" w:type="pct"/>
          </w:tcPr>
          <w:p w14:paraId="09CA869D" w14:textId="2572B024" w:rsidR="0039016D" w:rsidRPr="00032B21" w:rsidRDefault="0048150A" w:rsidP="00F57E4E">
            <w:pPr>
              <w:rPr>
                <w:bCs/>
              </w:rPr>
            </w:pPr>
            <w:r w:rsidRPr="0048150A">
              <w:rPr>
                <w:bCs/>
              </w:rPr>
              <w:t>Die Containerpflicht habe die Anliegen der Barrierefreiheit und die Grundsätze de</w:t>
            </w:r>
            <w:r w:rsidR="001B034E">
              <w:rPr>
                <w:bCs/>
              </w:rPr>
              <w:t>r</w:t>
            </w:r>
            <w:r w:rsidRPr="0048150A">
              <w:rPr>
                <w:bCs/>
              </w:rPr>
              <w:t xml:space="preserve"> Behindertengleichstellung zu respektieren</w:t>
            </w:r>
            <w:r w:rsidR="00A85E16">
              <w:rPr>
                <w:bCs/>
              </w:rPr>
              <w:t>.</w:t>
            </w:r>
          </w:p>
        </w:tc>
        <w:tc>
          <w:tcPr>
            <w:tcW w:w="1973" w:type="pct"/>
          </w:tcPr>
          <w:p w14:paraId="0D5FF146" w14:textId="3AA9D8F8" w:rsidR="0048150A" w:rsidRDefault="0048150A" w:rsidP="00F57E4E">
            <w:r>
              <w:t>Die Nachbarschaftshilfe ist nicht grenzenlos.</w:t>
            </w:r>
          </w:p>
          <w:p w14:paraId="399AD807" w14:textId="0727C869" w:rsidR="0039016D" w:rsidRPr="0083617D" w:rsidRDefault="0048150A" w:rsidP="00F57E4E">
            <w:r w:rsidRPr="0048150A">
              <w:lastRenderedPageBreak/>
              <w:t>Die Containerpflicht widerspricht der Barrierefreiheit. Die Nachbarschaftshilfe findet ihre Grenzen</w:t>
            </w:r>
            <w:r w:rsidR="001B034E">
              <w:t>.</w:t>
            </w:r>
            <w:r w:rsidRPr="0048150A">
              <w:t xml:space="preserve"> Regelmässige Hilfestellungen betr. Abfallentsorgung können nicht vorausgesetzt werden. </w:t>
            </w:r>
            <w:proofErr w:type="gramStart"/>
            <w:r w:rsidRPr="0048150A">
              <w:t>Der gemäss Bundesgericht</w:t>
            </w:r>
            <w:proofErr w:type="gramEnd"/>
            <w:r w:rsidRPr="0048150A">
              <w:t xml:space="preserve"> zulässige Weg von 200-300 m zu einer Entsorgungsstelle kann nicht regelmässig den Mitbewohnern zugemutet werden (Ferienabwesenheiten etc.)</w:t>
            </w:r>
            <w:r w:rsidR="001B034E">
              <w:t>.</w:t>
            </w:r>
          </w:p>
        </w:tc>
      </w:tr>
      <w:tr w:rsidR="0039016D" w14:paraId="71CA3964" w14:textId="77777777" w:rsidTr="006D188A">
        <w:tc>
          <w:tcPr>
            <w:tcW w:w="250" w:type="pct"/>
          </w:tcPr>
          <w:p w14:paraId="304D5F88" w14:textId="77777777" w:rsidR="0039016D" w:rsidRDefault="0039016D" w:rsidP="00706CB1">
            <w:pPr>
              <w:pStyle w:val="Listenabsatz"/>
              <w:numPr>
                <w:ilvl w:val="0"/>
                <w:numId w:val="20"/>
              </w:numPr>
            </w:pPr>
          </w:p>
        </w:tc>
        <w:tc>
          <w:tcPr>
            <w:tcW w:w="836" w:type="pct"/>
          </w:tcPr>
          <w:p w14:paraId="2356B7CE" w14:textId="09BF29FD" w:rsidR="0039016D" w:rsidRDefault="0039016D" w:rsidP="00F57E4E">
            <w:r>
              <w:t>SVP</w:t>
            </w:r>
          </w:p>
        </w:tc>
        <w:tc>
          <w:tcPr>
            <w:tcW w:w="1941" w:type="pct"/>
          </w:tcPr>
          <w:p w14:paraId="50D613AE" w14:textId="2DCACCF5" w:rsidR="0039016D" w:rsidRPr="00032B21" w:rsidRDefault="00A85E16" w:rsidP="00F57E4E">
            <w:pPr>
              <w:rPr>
                <w:bCs/>
              </w:rPr>
            </w:pPr>
            <w:r>
              <w:rPr>
                <w:bCs/>
              </w:rPr>
              <w:t xml:space="preserve">Die </w:t>
            </w:r>
            <w:r w:rsidRPr="00A85E16">
              <w:rPr>
                <w:bCs/>
              </w:rPr>
              <w:t>Containerplicht habe auf das Strassen-</w:t>
            </w:r>
            <w:r w:rsidR="005051A3">
              <w:rPr>
                <w:bCs/>
              </w:rPr>
              <w:t xml:space="preserve">, </w:t>
            </w:r>
            <w:r w:rsidRPr="00A85E16">
              <w:rPr>
                <w:bCs/>
              </w:rPr>
              <w:t>Quartier- und Strassenbild Rücksicht zu nehmen</w:t>
            </w:r>
            <w:r>
              <w:rPr>
                <w:bCs/>
              </w:rPr>
              <w:t>.</w:t>
            </w:r>
          </w:p>
        </w:tc>
        <w:tc>
          <w:tcPr>
            <w:tcW w:w="1973" w:type="pct"/>
          </w:tcPr>
          <w:p w14:paraId="2A4133D2" w14:textId="7862B413" w:rsidR="00A85E16" w:rsidRDefault="00A85E16" w:rsidP="00A85E16">
            <w:r>
              <w:t>Die Durchsetzung der Containerpflicht erweist sich nicht nur in der Altstadt, sondern auch in vielen anderen Quartieren als völlig unzweckmässig und nicht sinnvoll.</w:t>
            </w:r>
          </w:p>
          <w:p w14:paraId="226DD888" w14:textId="52B2E56D" w:rsidR="00A85E16" w:rsidRDefault="00A85E16" w:rsidP="00A85E16">
            <w:r>
              <w:t>Am unteren Teil der Jubiläumsstrasse gibt es z.T. grosse Vorgärten, diese sind aber oberhalb der Strasse gelegen und würden den teuren Einbau eine</w:t>
            </w:r>
            <w:r w:rsidR="005051A3">
              <w:t>s</w:t>
            </w:r>
            <w:r>
              <w:t xml:space="preserve"> Containerlifts voraussetzen.</w:t>
            </w:r>
          </w:p>
          <w:p w14:paraId="29CD15A9" w14:textId="68FC4B42" w:rsidR="00A85E16" w:rsidRDefault="00A85E16" w:rsidP="00A85E16">
            <w:r>
              <w:t xml:space="preserve">In anderen Stadtteilen gibt es wiederum stattliche Häuser (z.B. </w:t>
            </w:r>
            <w:proofErr w:type="spellStart"/>
            <w:r>
              <w:t>Optingenstrasse</w:t>
            </w:r>
            <w:proofErr w:type="spellEnd"/>
            <w:r>
              <w:t>) aber ohne Vorgärten.</w:t>
            </w:r>
          </w:p>
          <w:p w14:paraId="3FBDDCBE" w14:textId="318E7584" w:rsidR="0039016D" w:rsidRPr="0083617D" w:rsidRDefault="00A85E16" w:rsidP="00A85E16">
            <w:r>
              <w:t>Das Quartier- und Strassenbild wird durch die Container verschandelt. Entsprechende Massnahmen für den Ortsbildschutz sind vorzusehen.</w:t>
            </w:r>
          </w:p>
        </w:tc>
      </w:tr>
      <w:tr w:rsidR="0039016D" w14:paraId="075DE355" w14:textId="77777777" w:rsidTr="006D188A">
        <w:tc>
          <w:tcPr>
            <w:tcW w:w="250" w:type="pct"/>
          </w:tcPr>
          <w:p w14:paraId="6B84EAA9" w14:textId="77777777" w:rsidR="0039016D" w:rsidRDefault="0039016D" w:rsidP="00706CB1">
            <w:pPr>
              <w:pStyle w:val="Listenabsatz"/>
              <w:numPr>
                <w:ilvl w:val="0"/>
                <w:numId w:val="20"/>
              </w:numPr>
            </w:pPr>
          </w:p>
        </w:tc>
        <w:tc>
          <w:tcPr>
            <w:tcW w:w="836" w:type="pct"/>
          </w:tcPr>
          <w:p w14:paraId="652B3381" w14:textId="752CF67A" w:rsidR="0039016D" w:rsidRDefault="0039016D" w:rsidP="00F57E4E">
            <w:r>
              <w:t>SVP</w:t>
            </w:r>
          </w:p>
        </w:tc>
        <w:tc>
          <w:tcPr>
            <w:tcW w:w="1941" w:type="pct"/>
          </w:tcPr>
          <w:p w14:paraId="4563BB19" w14:textId="51536303" w:rsidR="0039016D" w:rsidRPr="00032B21" w:rsidRDefault="00594B68" w:rsidP="00F57E4E">
            <w:pPr>
              <w:rPr>
                <w:bCs/>
              </w:rPr>
            </w:pPr>
            <w:r w:rsidRPr="00594B68">
              <w:rPr>
                <w:bCs/>
              </w:rPr>
              <w:t>Die Containerplicht habe die Grundsätze der Hygiene zu beachten</w:t>
            </w:r>
            <w:r w:rsidR="005051A3">
              <w:rPr>
                <w:bCs/>
              </w:rPr>
              <w:t>.</w:t>
            </w:r>
            <w:r w:rsidRPr="00594B68">
              <w:rPr>
                <w:bCs/>
              </w:rPr>
              <w:t xml:space="preserve"> </w:t>
            </w:r>
            <w:r w:rsidR="005051A3">
              <w:rPr>
                <w:bCs/>
              </w:rPr>
              <w:t>L</w:t>
            </w:r>
            <w:r w:rsidRPr="00594B68">
              <w:rPr>
                <w:bCs/>
              </w:rPr>
              <w:t>ästige Geruchsimmissionen, insbesondere in den Sommermonaten, sind durch geeignete Massnahmen zu verhindern (z.B. mehrmalige Leerungen in der Woche im Sommer)</w:t>
            </w:r>
            <w:r>
              <w:rPr>
                <w:bCs/>
              </w:rPr>
              <w:t>.</w:t>
            </w:r>
          </w:p>
        </w:tc>
        <w:tc>
          <w:tcPr>
            <w:tcW w:w="1973" w:type="pct"/>
          </w:tcPr>
          <w:p w14:paraId="1E0D82C1" w14:textId="69EE1339" w:rsidR="0039016D" w:rsidRPr="0083617D" w:rsidRDefault="00594B68" w:rsidP="00F57E4E">
            <w:r w:rsidRPr="00594B68">
              <w:t>Sofern die Container im Sommer nur alle Woche geleert werden, werden läs</w:t>
            </w:r>
            <w:r>
              <w:t>t</w:t>
            </w:r>
            <w:r w:rsidRPr="00594B68">
              <w:t>ige Geruchsimmissionen die Anwohner stören. Entsprechende Massnahme</w:t>
            </w:r>
            <w:r>
              <w:t>n</w:t>
            </w:r>
            <w:r w:rsidRPr="00594B68">
              <w:t xml:space="preserve"> sind vorzusehen. Z.B. Leerungen 2x pro Wochen in den Sommermonaten.</w:t>
            </w:r>
          </w:p>
        </w:tc>
      </w:tr>
      <w:tr w:rsidR="0039016D" w14:paraId="5DD94ADC" w14:textId="77777777" w:rsidTr="006D188A">
        <w:tc>
          <w:tcPr>
            <w:tcW w:w="250" w:type="pct"/>
          </w:tcPr>
          <w:p w14:paraId="72DD4EA6" w14:textId="77777777" w:rsidR="0039016D" w:rsidRDefault="0039016D" w:rsidP="00706CB1">
            <w:pPr>
              <w:pStyle w:val="Listenabsatz"/>
              <w:numPr>
                <w:ilvl w:val="0"/>
                <w:numId w:val="20"/>
              </w:numPr>
            </w:pPr>
          </w:p>
        </w:tc>
        <w:tc>
          <w:tcPr>
            <w:tcW w:w="836" w:type="pct"/>
          </w:tcPr>
          <w:p w14:paraId="2F1F2C78" w14:textId="6A568673" w:rsidR="0039016D" w:rsidRDefault="0039016D" w:rsidP="00F57E4E">
            <w:r>
              <w:t>SVP</w:t>
            </w:r>
          </w:p>
        </w:tc>
        <w:tc>
          <w:tcPr>
            <w:tcW w:w="1941" w:type="pct"/>
          </w:tcPr>
          <w:p w14:paraId="59F9BC4D" w14:textId="109E99A0" w:rsidR="0039016D" w:rsidRPr="00032B21" w:rsidRDefault="007C0F3D" w:rsidP="00F57E4E">
            <w:pPr>
              <w:rPr>
                <w:bCs/>
              </w:rPr>
            </w:pPr>
            <w:r w:rsidRPr="007C0F3D">
              <w:rPr>
                <w:bCs/>
              </w:rPr>
              <w:t>Es seien wirksame Massnahmen gegen «Kehrrichtnomaden», wilde Deponierungen und störende Lärmimmissionen zu ergreifen</w:t>
            </w:r>
            <w:r>
              <w:rPr>
                <w:bCs/>
              </w:rPr>
              <w:t>.</w:t>
            </w:r>
          </w:p>
        </w:tc>
        <w:tc>
          <w:tcPr>
            <w:tcW w:w="1973" w:type="pct"/>
          </w:tcPr>
          <w:p w14:paraId="5CB9C577" w14:textId="117EF39B" w:rsidR="0039016D" w:rsidRPr="0083617D" w:rsidRDefault="007C0F3D" w:rsidP="00F57E4E">
            <w:r w:rsidRPr="007C0F3D">
              <w:t>Es besteht bei Einführung der Containerpflicht die Gefahr</w:t>
            </w:r>
            <w:r>
              <w:t>,</w:t>
            </w:r>
            <w:r w:rsidRPr="007C0F3D">
              <w:t xml:space="preserve"> dass Kehrichtnomaden ihren Abfall beim Nachbarn deponieren, dies selbst zu Unzeiten</w:t>
            </w:r>
            <w:r>
              <w:t>.</w:t>
            </w:r>
          </w:p>
        </w:tc>
      </w:tr>
      <w:tr w:rsidR="0039016D" w14:paraId="79807B73" w14:textId="77777777" w:rsidTr="006D188A">
        <w:tc>
          <w:tcPr>
            <w:tcW w:w="250" w:type="pct"/>
          </w:tcPr>
          <w:p w14:paraId="33E96334" w14:textId="77777777" w:rsidR="0039016D" w:rsidRDefault="0039016D" w:rsidP="00706CB1">
            <w:pPr>
              <w:pStyle w:val="Listenabsatz"/>
              <w:numPr>
                <w:ilvl w:val="0"/>
                <w:numId w:val="20"/>
              </w:numPr>
            </w:pPr>
          </w:p>
        </w:tc>
        <w:tc>
          <w:tcPr>
            <w:tcW w:w="836" w:type="pct"/>
          </w:tcPr>
          <w:p w14:paraId="1B8F8ED8" w14:textId="55F4C27D" w:rsidR="0039016D" w:rsidRDefault="0039016D" w:rsidP="00F57E4E">
            <w:r>
              <w:t>SVP</w:t>
            </w:r>
          </w:p>
        </w:tc>
        <w:tc>
          <w:tcPr>
            <w:tcW w:w="1941" w:type="pct"/>
          </w:tcPr>
          <w:p w14:paraId="7CA91992" w14:textId="1C492807" w:rsidR="00AA362E" w:rsidRPr="00AA362E" w:rsidRDefault="00AA362E" w:rsidP="00AA362E">
            <w:pPr>
              <w:rPr>
                <w:bCs/>
              </w:rPr>
            </w:pPr>
            <w:r w:rsidRPr="00AA362E">
              <w:rPr>
                <w:bCs/>
              </w:rPr>
              <w:t xml:space="preserve">Es sei sicher zu stellen, dass die Gebühren für die Abfallentsorgung nicht das </w:t>
            </w:r>
            <w:proofErr w:type="spellStart"/>
            <w:r w:rsidR="005051A3">
              <w:rPr>
                <w:bCs/>
              </w:rPr>
              <w:t>Ä</w:t>
            </w:r>
            <w:r w:rsidRPr="00AA362E">
              <w:rPr>
                <w:bCs/>
              </w:rPr>
              <w:t>quivalen</w:t>
            </w:r>
            <w:r>
              <w:rPr>
                <w:bCs/>
              </w:rPr>
              <w:t>z</w:t>
            </w:r>
            <w:r w:rsidRPr="00AA362E">
              <w:rPr>
                <w:bCs/>
              </w:rPr>
              <w:t>prinzio</w:t>
            </w:r>
            <w:proofErr w:type="spellEnd"/>
            <w:r w:rsidRPr="00AA362E">
              <w:rPr>
                <w:bCs/>
              </w:rPr>
              <w:t xml:space="preserve"> verletzten; angesichts de</w:t>
            </w:r>
            <w:r>
              <w:rPr>
                <w:bCs/>
              </w:rPr>
              <w:t>s</w:t>
            </w:r>
            <w:r w:rsidRPr="00AA362E">
              <w:rPr>
                <w:bCs/>
              </w:rPr>
              <w:t xml:space="preserve"> Rückgangs der Leistungen sind die «Kosten der Gebühren» allgemein wesentlich zu reduzieren</w:t>
            </w:r>
            <w:r>
              <w:rPr>
                <w:bCs/>
              </w:rPr>
              <w:t>.</w:t>
            </w:r>
          </w:p>
          <w:p w14:paraId="6D67BCD9" w14:textId="793C7935" w:rsidR="0039016D" w:rsidRPr="00032B21" w:rsidRDefault="00AA362E" w:rsidP="00AA362E">
            <w:pPr>
              <w:rPr>
                <w:bCs/>
              </w:rPr>
            </w:pPr>
            <w:r w:rsidRPr="00AA362E">
              <w:rPr>
                <w:bCs/>
              </w:rPr>
              <w:t>Es ist dabei zu berücksichtigen, dass die Leistungen der Stadt (Abfallentsorgung) vermindert werden, und der Abfall nicht mehr</w:t>
            </w:r>
            <w:r>
              <w:rPr>
                <w:bCs/>
              </w:rPr>
              <w:t>,</w:t>
            </w:r>
            <w:r w:rsidRPr="00AA362E">
              <w:rPr>
                <w:bCs/>
              </w:rPr>
              <w:t xml:space="preserve"> wie bisher vor dem </w:t>
            </w:r>
            <w:r w:rsidRPr="00AA362E">
              <w:rPr>
                <w:bCs/>
              </w:rPr>
              <w:lastRenderedPageBreak/>
              <w:t>Haus deponiert werden kann, ev. weiter Weg bis zum nächsten Container.</w:t>
            </w:r>
          </w:p>
        </w:tc>
        <w:tc>
          <w:tcPr>
            <w:tcW w:w="1973" w:type="pct"/>
          </w:tcPr>
          <w:p w14:paraId="30BFBBF8" w14:textId="783B2F9B" w:rsidR="00AA362E" w:rsidRDefault="00AA362E" w:rsidP="00AA362E">
            <w:r>
              <w:lastRenderedPageBreak/>
              <w:t xml:space="preserve">Es ist zu berücksichtigen, dass die Leistungen der Stadt (Abfallentsorgung) vermindert werden, Abfall kann nicht mehr vor Haus entsorgt werden und Abfallentsorgung nur noch einmal pro Woche vorgenommen werden kann. </w:t>
            </w:r>
          </w:p>
          <w:p w14:paraId="3FC4BC81" w14:textId="41274F57" w:rsidR="0039016D" w:rsidRPr="0083617D" w:rsidRDefault="00AA362E" w:rsidP="00AA362E">
            <w:r>
              <w:t>Zudem treten störende Lärmimmissionen auf.</w:t>
            </w:r>
          </w:p>
        </w:tc>
      </w:tr>
    </w:tbl>
    <w:p w14:paraId="124C3BAD" w14:textId="3DC62DD7" w:rsidR="00ED086A" w:rsidRDefault="00ED086A" w:rsidP="00ED086A">
      <w:pPr>
        <w:pStyle w:val="berschrift3"/>
      </w:pPr>
      <w:r>
        <w:t xml:space="preserve">Traktandum 17: </w:t>
      </w:r>
      <w:r w:rsidR="003F38CE" w:rsidRPr="003F38CE">
        <w:t>Erwerb von Liegenschaften; Verlängerung Rahmenkredit</w:t>
      </w:r>
      <w:r w:rsidR="003F38CE">
        <w:t xml:space="preserve"> (2018.FPI.000031)</w:t>
      </w:r>
    </w:p>
    <w:tbl>
      <w:tblPr>
        <w:tblStyle w:val="Tabellenraster"/>
        <w:tblW w:w="5000" w:type="pct"/>
        <w:tblLook w:val="04A0" w:firstRow="1" w:lastRow="0" w:firstColumn="1" w:lastColumn="0" w:noHBand="0" w:noVBand="1"/>
      </w:tblPr>
      <w:tblGrid>
        <w:gridCol w:w="676"/>
        <w:gridCol w:w="2259"/>
        <w:gridCol w:w="5245"/>
        <w:gridCol w:w="5331"/>
      </w:tblGrid>
      <w:tr w:rsidR="00ED086A" w:rsidRPr="00E406BF" w14:paraId="75F03E1A"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119A1F23" w14:textId="77777777" w:rsidR="00ED086A" w:rsidRPr="00E406BF" w:rsidRDefault="00ED086A" w:rsidP="005B3DF2">
            <w:pPr>
              <w:pStyle w:val="berschrift3"/>
            </w:pPr>
            <w:r w:rsidRPr="00E406BF">
              <w:t>Nr.</w:t>
            </w:r>
          </w:p>
        </w:tc>
        <w:tc>
          <w:tcPr>
            <w:tcW w:w="836" w:type="pct"/>
            <w:tcBorders>
              <w:top w:val="single" w:sz="4" w:space="0" w:color="auto"/>
              <w:left w:val="single" w:sz="4" w:space="0" w:color="auto"/>
              <w:bottom w:val="single" w:sz="4" w:space="0" w:color="auto"/>
              <w:right w:val="single" w:sz="4" w:space="0" w:color="auto"/>
            </w:tcBorders>
            <w:hideMark/>
          </w:tcPr>
          <w:p w14:paraId="60A93989" w14:textId="77777777" w:rsidR="00ED086A" w:rsidRPr="00E406BF" w:rsidRDefault="00ED086A" w:rsidP="005B3DF2">
            <w:pPr>
              <w:pStyle w:val="berschrift3"/>
            </w:pPr>
            <w:r w:rsidRPr="00E406BF">
              <w:t>Antragstellende</w:t>
            </w:r>
          </w:p>
        </w:tc>
        <w:tc>
          <w:tcPr>
            <w:tcW w:w="1941" w:type="pct"/>
            <w:tcBorders>
              <w:top w:val="single" w:sz="4" w:space="0" w:color="auto"/>
              <w:left w:val="single" w:sz="4" w:space="0" w:color="auto"/>
              <w:bottom w:val="single" w:sz="4" w:space="0" w:color="auto"/>
              <w:right w:val="single" w:sz="4" w:space="0" w:color="auto"/>
            </w:tcBorders>
          </w:tcPr>
          <w:p w14:paraId="571122F8" w14:textId="77777777" w:rsidR="00ED086A" w:rsidRPr="00E406BF" w:rsidRDefault="00ED086A" w:rsidP="005B3DF2">
            <w:pPr>
              <w:pStyle w:val="berschrift3"/>
            </w:pPr>
            <w:r w:rsidRPr="00E406BF">
              <w:t>Antrag</w:t>
            </w:r>
          </w:p>
          <w:p w14:paraId="47777B01" w14:textId="77777777" w:rsidR="00ED086A" w:rsidRPr="00E406BF"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4DB6B951" w14:textId="77777777" w:rsidR="00ED086A" w:rsidRPr="00E406BF" w:rsidRDefault="00ED086A" w:rsidP="005B3DF2">
            <w:pPr>
              <w:pStyle w:val="berschrift3"/>
            </w:pPr>
            <w:r w:rsidRPr="00E406BF">
              <w:t>Begründung</w:t>
            </w:r>
          </w:p>
        </w:tc>
      </w:tr>
      <w:tr w:rsidR="00ED086A" w14:paraId="0EF9B941" w14:textId="77777777" w:rsidTr="005B3DF2">
        <w:tc>
          <w:tcPr>
            <w:tcW w:w="250" w:type="pct"/>
          </w:tcPr>
          <w:p w14:paraId="1C8B57F2" w14:textId="77777777" w:rsidR="00ED086A" w:rsidRPr="00E406BF" w:rsidRDefault="00ED086A" w:rsidP="00E406BF">
            <w:pPr>
              <w:pStyle w:val="Listenabsatz"/>
              <w:numPr>
                <w:ilvl w:val="0"/>
                <w:numId w:val="16"/>
              </w:numPr>
            </w:pPr>
          </w:p>
        </w:tc>
        <w:tc>
          <w:tcPr>
            <w:tcW w:w="836" w:type="pct"/>
          </w:tcPr>
          <w:p w14:paraId="28B992FE" w14:textId="740A8959" w:rsidR="00ED086A" w:rsidRPr="00E406BF" w:rsidRDefault="0029784C" w:rsidP="005B3DF2">
            <w:r w:rsidRPr="00E406BF">
              <w:t>SVP</w:t>
            </w:r>
          </w:p>
        </w:tc>
        <w:tc>
          <w:tcPr>
            <w:tcW w:w="1941" w:type="pct"/>
          </w:tcPr>
          <w:p w14:paraId="35FE6D68" w14:textId="77777777" w:rsidR="0029784C" w:rsidRPr="00E406BF" w:rsidRDefault="0029784C" w:rsidP="0029784C">
            <w:pPr>
              <w:ind w:left="358" w:hanging="358"/>
              <w:rPr>
                <w:b/>
                <w:bCs/>
              </w:rPr>
            </w:pPr>
            <w:r w:rsidRPr="00E406BF">
              <w:rPr>
                <w:b/>
                <w:bCs/>
              </w:rPr>
              <w:t>Rückweisung:</w:t>
            </w:r>
          </w:p>
          <w:p w14:paraId="7CB80D1D" w14:textId="77777777" w:rsidR="0029784C" w:rsidRPr="00E406BF" w:rsidRDefault="0029784C" w:rsidP="0029784C">
            <w:pPr>
              <w:ind w:firstLine="10"/>
            </w:pPr>
            <w:r w:rsidRPr="00E406BF">
              <w:t>Die Vorlage sei an den Gemeinderat zurückzuweisen unter der Auflage dem Stadtrat ein verbessertes Konzept vorzulegen, nach welchen Kriterien der Fonds Objekte erwerben darf. Dies muss detaillieren Aufschluss darüber geben:</w:t>
            </w:r>
          </w:p>
          <w:p w14:paraId="3BDC05AD" w14:textId="77777777" w:rsidR="0029784C" w:rsidRPr="00E406BF" w:rsidRDefault="0029784C" w:rsidP="0029784C">
            <w:pPr>
              <w:ind w:left="358" w:hanging="358"/>
            </w:pPr>
            <w:r w:rsidRPr="00E406BF">
              <w:t>- Zone</w:t>
            </w:r>
          </w:p>
          <w:p w14:paraId="02D2864F" w14:textId="77777777" w:rsidR="0029784C" w:rsidRPr="00E406BF" w:rsidRDefault="0029784C" w:rsidP="0029784C">
            <w:pPr>
              <w:ind w:left="358" w:hanging="358"/>
            </w:pPr>
            <w:r w:rsidRPr="00E406BF">
              <w:t>- Strategische Bedeutung Objekte</w:t>
            </w:r>
          </w:p>
          <w:p w14:paraId="61772A9C" w14:textId="77777777" w:rsidR="0029784C" w:rsidRPr="00E406BF" w:rsidRDefault="0029784C" w:rsidP="0029784C">
            <w:pPr>
              <w:ind w:left="358" w:hanging="358"/>
            </w:pPr>
            <w:r w:rsidRPr="00E406BF">
              <w:t>- künftige Verwendung</w:t>
            </w:r>
          </w:p>
          <w:p w14:paraId="33AA9F6E" w14:textId="77777777" w:rsidR="0029784C" w:rsidRPr="00E406BF" w:rsidRDefault="0029784C" w:rsidP="0029784C">
            <w:pPr>
              <w:ind w:left="358" w:hanging="358"/>
            </w:pPr>
            <w:r w:rsidRPr="00E406BF">
              <w:t>- Zimmer / Wohnungsaufteilung</w:t>
            </w:r>
          </w:p>
          <w:p w14:paraId="33B31A00" w14:textId="77777777" w:rsidR="0029784C" w:rsidRPr="00E406BF" w:rsidRDefault="0029784C" w:rsidP="0029784C">
            <w:pPr>
              <w:ind w:left="358" w:hanging="358"/>
            </w:pPr>
            <w:r w:rsidRPr="00E406BF">
              <w:t>- Sanierungsbedarf pro Wohnungseinheit</w:t>
            </w:r>
          </w:p>
          <w:p w14:paraId="78F94012" w14:textId="77777777" w:rsidR="0029784C" w:rsidRPr="00E406BF" w:rsidRDefault="0029784C" w:rsidP="0029784C">
            <w:pPr>
              <w:ind w:left="358" w:hanging="358"/>
            </w:pPr>
            <w:r w:rsidRPr="00E406BF">
              <w:t>- zu erwartende Renditenberechnung</w:t>
            </w:r>
          </w:p>
          <w:p w14:paraId="7248D6F6" w14:textId="0D1BFD16" w:rsidR="00ED086A" w:rsidRPr="00E406BF" w:rsidRDefault="0029784C" w:rsidP="00E406BF">
            <w:pPr>
              <w:ind w:left="76" w:hanging="76"/>
            </w:pPr>
            <w:r w:rsidRPr="00E406BF">
              <w:t>- detaillierte Begründung, wenn ein sanierungsbedürftiges Objekt an schlechten Lagen erworben werden soll (Preis)</w:t>
            </w:r>
          </w:p>
        </w:tc>
        <w:tc>
          <w:tcPr>
            <w:tcW w:w="1973" w:type="pct"/>
          </w:tcPr>
          <w:p w14:paraId="6F6BA083" w14:textId="602932AF" w:rsidR="00ED086A" w:rsidRDefault="0029784C" w:rsidP="005B3DF2">
            <w:r w:rsidRPr="00E406BF">
              <w:t xml:space="preserve">Die Stadt kauft nach Auffassung der </w:t>
            </w:r>
            <w:proofErr w:type="spellStart"/>
            <w:r w:rsidRPr="00E406BF">
              <w:t>Antragstel-ler</w:t>
            </w:r>
            <w:proofErr w:type="spellEnd"/>
            <w:r w:rsidRPr="00E406BF">
              <w:t xml:space="preserve"> wahllos überteuerte Objekte, bei denen sie den Sanierungsbedarf, Verwendungszweck und massgebliche Rendite nicht genau abgeklärt hat. Fälle wie der Fall des Erwerbs der Objekte am Wildhainweg dürfen sich nicht mehr wiederholen.</w:t>
            </w:r>
          </w:p>
        </w:tc>
      </w:tr>
    </w:tbl>
    <w:p w14:paraId="3876CE1A" w14:textId="51B39585" w:rsidR="00ED086A" w:rsidRDefault="00ED086A" w:rsidP="00ED086A">
      <w:pPr>
        <w:pStyle w:val="berschrift3"/>
      </w:pPr>
      <w:r>
        <w:t>Traktandum 1</w:t>
      </w:r>
      <w:r>
        <w:rPr>
          <w:rFonts w:cstheme="majorHAnsi"/>
        </w:rPr>
        <w:t>9</w:t>
      </w:r>
      <w:r>
        <w:t xml:space="preserve">: </w:t>
      </w:r>
      <w:r w:rsidR="003F38CE" w:rsidRPr="003F38CE">
        <w:t xml:space="preserve">Motion: </w:t>
      </w:r>
      <w:proofErr w:type="spellStart"/>
      <w:r w:rsidR="003F38CE" w:rsidRPr="003F38CE">
        <w:t>Belpmoos</w:t>
      </w:r>
      <w:proofErr w:type="spellEnd"/>
      <w:r w:rsidR="003F38CE" w:rsidRPr="003F38CE">
        <w:t xml:space="preserve"> Solar – Solaranlagen auf der </w:t>
      </w:r>
      <w:proofErr w:type="gramStart"/>
      <w:r w:rsidR="003F38CE" w:rsidRPr="003F38CE">
        <w:t>Fluglandebahn</w:t>
      </w:r>
      <w:proofErr w:type="gramEnd"/>
      <w:r w:rsidR="003F38CE" w:rsidRPr="003F38CE">
        <w:t xml:space="preserve"> um die Biodiversität zu </w:t>
      </w:r>
      <w:proofErr w:type="gramStart"/>
      <w:r w:rsidR="003F38CE" w:rsidRPr="003F38CE">
        <w:t>schützen!;</w:t>
      </w:r>
      <w:proofErr w:type="gramEnd"/>
      <w:r w:rsidR="003F38CE" w:rsidRPr="003F38CE">
        <w:t xml:space="preserve"> Fristverlängerung</w:t>
      </w:r>
      <w:r w:rsidR="003F38CE">
        <w:t xml:space="preserve"> (2025.SR.0022)</w:t>
      </w:r>
    </w:p>
    <w:tbl>
      <w:tblPr>
        <w:tblStyle w:val="Tabellenraster"/>
        <w:tblW w:w="5000" w:type="pct"/>
        <w:tblLook w:val="04A0" w:firstRow="1" w:lastRow="0" w:firstColumn="1" w:lastColumn="0" w:noHBand="0" w:noVBand="1"/>
      </w:tblPr>
      <w:tblGrid>
        <w:gridCol w:w="676"/>
        <w:gridCol w:w="2259"/>
        <w:gridCol w:w="5245"/>
        <w:gridCol w:w="5331"/>
      </w:tblGrid>
      <w:tr w:rsidR="00ED086A" w14:paraId="4C4250F0"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40CD9F7A"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2B6BD19B"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254E952" w14:textId="77777777" w:rsidR="00ED086A" w:rsidRDefault="00ED086A" w:rsidP="005B3DF2">
            <w:pPr>
              <w:pStyle w:val="berschrift3"/>
            </w:pPr>
            <w:r>
              <w:t>Antrag</w:t>
            </w:r>
          </w:p>
          <w:p w14:paraId="6E87C99A"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6A4DF87A" w14:textId="77777777" w:rsidR="00ED086A" w:rsidRDefault="00ED086A" w:rsidP="005B3DF2">
            <w:pPr>
              <w:pStyle w:val="berschrift3"/>
            </w:pPr>
            <w:r>
              <w:t>Begründung</w:t>
            </w:r>
          </w:p>
        </w:tc>
      </w:tr>
      <w:tr w:rsidR="004C1893" w14:paraId="26E3ABA0" w14:textId="77777777" w:rsidTr="004C1893">
        <w:tc>
          <w:tcPr>
            <w:tcW w:w="250" w:type="pct"/>
          </w:tcPr>
          <w:p w14:paraId="2CA1D051" w14:textId="77777777" w:rsidR="004C1893" w:rsidRDefault="004C1893" w:rsidP="005B3DF2">
            <w:pPr>
              <w:pStyle w:val="Listenabsatz"/>
              <w:numPr>
                <w:ilvl w:val="0"/>
                <w:numId w:val="12"/>
              </w:numPr>
            </w:pPr>
          </w:p>
        </w:tc>
        <w:tc>
          <w:tcPr>
            <w:tcW w:w="836" w:type="pct"/>
          </w:tcPr>
          <w:p w14:paraId="56C174C3" w14:textId="77777777" w:rsidR="004C1893" w:rsidRDefault="004C1893" w:rsidP="005B3DF2">
            <w:r w:rsidRPr="00FE0CD2">
              <w:t>GB/JA</w:t>
            </w:r>
          </w:p>
        </w:tc>
        <w:tc>
          <w:tcPr>
            <w:tcW w:w="1941" w:type="pct"/>
          </w:tcPr>
          <w:p w14:paraId="56A945AA" w14:textId="77777777" w:rsidR="004C1893" w:rsidRDefault="004C1893" w:rsidP="005B3DF2">
            <w:r w:rsidRPr="00FE0CD2">
              <w:t>Die Fristverlängerung zur Beantwortung der Motion wird auf ein halbes Jahr verkürzt.</w:t>
            </w:r>
          </w:p>
        </w:tc>
        <w:tc>
          <w:tcPr>
            <w:tcW w:w="1973" w:type="pct"/>
          </w:tcPr>
          <w:p w14:paraId="36E26905" w14:textId="77777777" w:rsidR="004C1893" w:rsidRDefault="004C1893" w:rsidP="005B3DF2">
            <w:r w:rsidRPr="00FE0CD2">
              <w:t xml:space="preserve">Nach Verhandlungen am Runden Tisch wurde im Sommer 2025 bekannt, dass sich die Trägerschaft von </w:t>
            </w:r>
            <w:proofErr w:type="spellStart"/>
            <w:r w:rsidRPr="00FE0CD2">
              <w:t>Belpmoos</w:t>
            </w:r>
            <w:proofErr w:type="spellEnd"/>
            <w:r w:rsidRPr="00FE0CD2">
              <w:t xml:space="preserve"> Solar, Umweltverbände, der Flughafen Bern sowie der Bund und der Kanton Bern auf einen Deal geeinigt haben: Die Trockenwiese soll im nationalen Inventar aufgenommen und </w:t>
            </w:r>
            <w:proofErr w:type="spellStart"/>
            <w:r w:rsidRPr="00FE0CD2">
              <w:t>Belpmoos</w:t>
            </w:r>
            <w:proofErr w:type="spellEnd"/>
            <w:r w:rsidRPr="00FE0CD2">
              <w:t xml:space="preserve"> Solar redimensioniert werden. Die in der Motion gestellten Forderungen betreffen politische Grundsatzentscheide, die zu Beginn eines Projekts geführt </w:t>
            </w:r>
            <w:r w:rsidRPr="00FE0CD2">
              <w:lastRenderedPageBreak/>
              <w:t>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2F2F7DA7" w14:textId="243CD74E" w:rsidR="00ED086A" w:rsidRDefault="00ED086A" w:rsidP="00ED086A">
      <w:pPr>
        <w:pStyle w:val="berschrift3"/>
      </w:pPr>
      <w:r>
        <w:lastRenderedPageBreak/>
        <w:t xml:space="preserve">Traktandum 20: </w:t>
      </w:r>
      <w:r w:rsidR="003F38CE" w:rsidRPr="003F38CE">
        <w:t>Motion: Keine Anpassung der Baurechts- und Pachtverträge für die Freiflächen-Photovoltaikanlage "</w:t>
      </w:r>
      <w:proofErr w:type="spellStart"/>
      <w:r w:rsidR="003F38CE" w:rsidRPr="003F38CE">
        <w:t>Belpmoos</w:t>
      </w:r>
      <w:proofErr w:type="spellEnd"/>
      <w:r w:rsidR="003F38CE" w:rsidRPr="003F38CE">
        <w:t xml:space="preserve"> Solar"; Fristverlängerung</w:t>
      </w:r>
      <w:r w:rsidR="003F38CE">
        <w:t xml:space="preserve"> (2025.SR.0020)</w:t>
      </w:r>
    </w:p>
    <w:tbl>
      <w:tblPr>
        <w:tblStyle w:val="Tabellenraster"/>
        <w:tblW w:w="5000" w:type="pct"/>
        <w:tblLook w:val="04A0" w:firstRow="1" w:lastRow="0" w:firstColumn="1" w:lastColumn="0" w:noHBand="0" w:noVBand="1"/>
      </w:tblPr>
      <w:tblGrid>
        <w:gridCol w:w="676"/>
        <w:gridCol w:w="2259"/>
        <w:gridCol w:w="5245"/>
        <w:gridCol w:w="5331"/>
      </w:tblGrid>
      <w:tr w:rsidR="00ED086A" w14:paraId="738BC2FE"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4BF437E6"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7311504A"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A4209A3" w14:textId="77777777" w:rsidR="00ED086A" w:rsidRDefault="00ED086A" w:rsidP="005B3DF2">
            <w:pPr>
              <w:pStyle w:val="berschrift3"/>
            </w:pPr>
            <w:r>
              <w:t>Antrag</w:t>
            </w:r>
          </w:p>
          <w:p w14:paraId="52789BA3"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77F7ABEE" w14:textId="77777777" w:rsidR="00ED086A" w:rsidRDefault="00ED086A" w:rsidP="005B3DF2">
            <w:pPr>
              <w:pStyle w:val="berschrift3"/>
            </w:pPr>
            <w:r>
              <w:t>Begründung</w:t>
            </w:r>
          </w:p>
        </w:tc>
      </w:tr>
      <w:tr w:rsidR="008D75FD" w14:paraId="74A4ED5D" w14:textId="77777777" w:rsidTr="008D75FD">
        <w:tc>
          <w:tcPr>
            <w:tcW w:w="250" w:type="pct"/>
          </w:tcPr>
          <w:p w14:paraId="1278EE6A" w14:textId="77777777" w:rsidR="008D75FD" w:rsidRDefault="008D75FD" w:rsidP="005B3DF2">
            <w:pPr>
              <w:pStyle w:val="Listenabsatz"/>
              <w:numPr>
                <w:ilvl w:val="0"/>
                <w:numId w:val="13"/>
              </w:numPr>
            </w:pPr>
          </w:p>
        </w:tc>
        <w:tc>
          <w:tcPr>
            <w:tcW w:w="836" w:type="pct"/>
          </w:tcPr>
          <w:p w14:paraId="445F0251" w14:textId="77777777" w:rsidR="008D75FD" w:rsidRDefault="008D75FD" w:rsidP="005B3DF2">
            <w:r w:rsidRPr="00E84A05">
              <w:t>GB/JA</w:t>
            </w:r>
          </w:p>
        </w:tc>
        <w:tc>
          <w:tcPr>
            <w:tcW w:w="1941" w:type="pct"/>
          </w:tcPr>
          <w:p w14:paraId="0BE8C4E8" w14:textId="77777777" w:rsidR="008D75FD" w:rsidRDefault="008D75FD" w:rsidP="005B3DF2">
            <w:r w:rsidRPr="00E84A05">
              <w:t>Die Fristverlängerung zur Beantwortung der Motion wird auf ein halbes Jahr verkürzt.</w:t>
            </w:r>
          </w:p>
        </w:tc>
        <w:tc>
          <w:tcPr>
            <w:tcW w:w="1973" w:type="pct"/>
          </w:tcPr>
          <w:p w14:paraId="7BD6A5D6" w14:textId="77777777" w:rsidR="008D75FD" w:rsidRDefault="008D75FD" w:rsidP="005B3DF2">
            <w:r w:rsidRPr="00E84A05">
              <w:t xml:space="preserve">Nach Verhandlungen am Runden Tisch wurde im Sommer 2025 bekannt, dass sich die Trägerschaft von </w:t>
            </w:r>
            <w:proofErr w:type="spellStart"/>
            <w:r w:rsidRPr="00E84A05">
              <w:t>Belpmoos</w:t>
            </w:r>
            <w:proofErr w:type="spellEnd"/>
            <w:r w:rsidRPr="00E84A05">
              <w:t xml:space="preserve"> Solar, Umweltverbände, der Flughafen Bern sowie der Bund und der Kanton Bern auf einen Deal geeinigt haben: Die Trockenwiese soll im nationalen Inventar aufgenommen und </w:t>
            </w:r>
            <w:proofErr w:type="spellStart"/>
            <w:r w:rsidRPr="00E84A05">
              <w:t>Belpmoos</w:t>
            </w:r>
            <w:proofErr w:type="spellEnd"/>
            <w:r w:rsidRPr="00E84A05">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1D52D726" w14:textId="5D3B395D" w:rsidR="00ED086A" w:rsidRDefault="00ED086A" w:rsidP="00ED086A">
      <w:pPr>
        <w:pStyle w:val="berschrift3"/>
      </w:pPr>
      <w:r>
        <w:t xml:space="preserve">Traktandum 21: </w:t>
      </w:r>
      <w:r w:rsidR="003F38CE" w:rsidRPr="003F38CE">
        <w:t xml:space="preserve">Motion: Energiewende und Biodiversität gehen Hand in Hand: Ökologisch wertvolle Flächen in </w:t>
      </w:r>
      <w:proofErr w:type="spellStart"/>
      <w:r w:rsidR="003F38CE" w:rsidRPr="003F38CE">
        <w:t>Belpmoos</w:t>
      </w:r>
      <w:proofErr w:type="spellEnd"/>
      <w:r w:rsidR="003F38CE" w:rsidRPr="003F38CE">
        <w:t xml:space="preserve"> stärken; Fristverlängerung</w:t>
      </w:r>
      <w:r w:rsidR="003F38CE">
        <w:t xml:space="preserve"> (2025.SR.0023)</w:t>
      </w:r>
    </w:p>
    <w:tbl>
      <w:tblPr>
        <w:tblStyle w:val="Tabellenraster"/>
        <w:tblW w:w="5000" w:type="pct"/>
        <w:tblLook w:val="04A0" w:firstRow="1" w:lastRow="0" w:firstColumn="1" w:lastColumn="0" w:noHBand="0" w:noVBand="1"/>
      </w:tblPr>
      <w:tblGrid>
        <w:gridCol w:w="676"/>
        <w:gridCol w:w="2259"/>
        <w:gridCol w:w="5245"/>
        <w:gridCol w:w="5331"/>
      </w:tblGrid>
      <w:tr w:rsidR="00ED086A" w14:paraId="0812D688" w14:textId="77777777" w:rsidTr="005B3DF2">
        <w:trPr>
          <w:tblHeader/>
        </w:trPr>
        <w:tc>
          <w:tcPr>
            <w:tcW w:w="250" w:type="pct"/>
            <w:tcBorders>
              <w:top w:val="single" w:sz="4" w:space="0" w:color="auto"/>
              <w:left w:val="single" w:sz="4" w:space="0" w:color="auto"/>
              <w:bottom w:val="single" w:sz="4" w:space="0" w:color="auto"/>
              <w:right w:val="single" w:sz="4" w:space="0" w:color="auto"/>
            </w:tcBorders>
            <w:hideMark/>
          </w:tcPr>
          <w:p w14:paraId="0E149EC8" w14:textId="77777777" w:rsidR="00ED086A" w:rsidRDefault="00ED086A" w:rsidP="005B3DF2">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481C0731" w14:textId="77777777" w:rsidR="00ED086A" w:rsidRDefault="00ED086A" w:rsidP="005B3DF2">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64CC6E7" w14:textId="77777777" w:rsidR="00ED086A" w:rsidRDefault="00ED086A" w:rsidP="005B3DF2">
            <w:pPr>
              <w:pStyle w:val="berschrift3"/>
            </w:pPr>
            <w:r>
              <w:t>Antrag</w:t>
            </w:r>
          </w:p>
          <w:p w14:paraId="7A777F87" w14:textId="77777777" w:rsidR="00ED086A" w:rsidRDefault="00ED086A" w:rsidP="005B3DF2"/>
        </w:tc>
        <w:tc>
          <w:tcPr>
            <w:tcW w:w="1973" w:type="pct"/>
            <w:tcBorders>
              <w:top w:val="single" w:sz="4" w:space="0" w:color="auto"/>
              <w:left w:val="single" w:sz="4" w:space="0" w:color="auto"/>
              <w:bottom w:val="single" w:sz="4" w:space="0" w:color="auto"/>
              <w:right w:val="single" w:sz="4" w:space="0" w:color="auto"/>
            </w:tcBorders>
            <w:hideMark/>
          </w:tcPr>
          <w:p w14:paraId="556468BC" w14:textId="77777777" w:rsidR="00ED086A" w:rsidRDefault="00ED086A" w:rsidP="005B3DF2">
            <w:pPr>
              <w:pStyle w:val="berschrift3"/>
            </w:pPr>
            <w:r>
              <w:t>Begründung</w:t>
            </w:r>
          </w:p>
        </w:tc>
      </w:tr>
      <w:tr w:rsidR="008A4E9E" w14:paraId="7EB352E8" w14:textId="77777777" w:rsidTr="008A4E9E">
        <w:tc>
          <w:tcPr>
            <w:tcW w:w="250" w:type="pct"/>
          </w:tcPr>
          <w:p w14:paraId="58A582FA" w14:textId="77777777" w:rsidR="008A4E9E" w:rsidRDefault="008A4E9E" w:rsidP="005B3DF2">
            <w:pPr>
              <w:pStyle w:val="Listenabsatz"/>
              <w:numPr>
                <w:ilvl w:val="0"/>
                <w:numId w:val="14"/>
              </w:numPr>
            </w:pPr>
          </w:p>
        </w:tc>
        <w:tc>
          <w:tcPr>
            <w:tcW w:w="836" w:type="pct"/>
          </w:tcPr>
          <w:p w14:paraId="609EA602" w14:textId="77777777" w:rsidR="008A4E9E" w:rsidRDefault="008A4E9E" w:rsidP="005B3DF2">
            <w:r w:rsidRPr="00085DD6">
              <w:t>GB/JA!</w:t>
            </w:r>
          </w:p>
        </w:tc>
        <w:tc>
          <w:tcPr>
            <w:tcW w:w="1941" w:type="pct"/>
          </w:tcPr>
          <w:p w14:paraId="415377DD" w14:textId="77777777" w:rsidR="008A4E9E" w:rsidRDefault="008A4E9E" w:rsidP="005B3DF2">
            <w:r w:rsidRPr="00085DD6">
              <w:t>Die Fristverlängerung zur Beantwortung der Motion wird auf ein halbes Jahr verkürzt.</w:t>
            </w:r>
          </w:p>
        </w:tc>
        <w:tc>
          <w:tcPr>
            <w:tcW w:w="1973" w:type="pct"/>
          </w:tcPr>
          <w:p w14:paraId="3A2A2AA8" w14:textId="77777777" w:rsidR="008A4E9E" w:rsidRDefault="008A4E9E" w:rsidP="005B3DF2">
            <w:r w:rsidRPr="00085DD6">
              <w:t xml:space="preserve">Nach Verhandlungen am Runden Tisch wurde im Sommer 2025 bekannt, dass sich die Trägerschaft von </w:t>
            </w:r>
            <w:proofErr w:type="spellStart"/>
            <w:r w:rsidRPr="00085DD6">
              <w:t>Belpmoos</w:t>
            </w:r>
            <w:proofErr w:type="spellEnd"/>
            <w:r w:rsidRPr="00085DD6">
              <w:t xml:space="preserve"> Solar, Umweltverbände, der Flughafen Bern sowie der Bund und der Kanton Bern auf einen Deal geeinigt haben: Die Trockenwiese soll im </w:t>
            </w:r>
            <w:r w:rsidRPr="00085DD6">
              <w:lastRenderedPageBreak/>
              <w:t xml:space="preserve">nationalen Inventar aufgenommen und </w:t>
            </w:r>
            <w:proofErr w:type="spellStart"/>
            <w:r w:rsidRPr="00085DD6">
              <w:t>Belpmoos</w:t>
            </w:r>
            <w:proofErr w:type="spellEnd"/>
            <w:r w:rsidRPr="00085DD6">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755539C6" w14:textId="77777777" w:rsidR="000048B8" w:rsidRDefault="000048B8" w:rsidP="000048B8"/>
    <w:sectPr w:rsidR="000048B8"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rsidP="002637C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0ADC447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 w15:restartNumberingAfterBreak="0">
    <w:nsid w:val="241D13C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9" w15:restartNumberingAfterBreak="0">
    <w:nsid w:val="41662EB2"/>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1884B85"/>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3982ABC"/>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5" w15:restartNumberingAfterBreak="0">
    <w:nsid w:val="55F97982"/>
    <w:multiLevelType w:val="multilevel"/>
    <w:tmpl w:val="006EE2DC"/>
    <w:numStyleLink w:val="AUFZSCHWARZ"/>
  </w:abstractNum>
  <w:abstractNum w:abstractNumId="16"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4"/>
  </w:num>
  <w:num w:numId="2" w16cid:durableId="26762586">
    <w:abstractNumId w:val="8"/>
  </w:num>
  <w:num w:numId="3" w16cid:durableId="804664702">
    <w:abstractNumId w:val="3"/>
  </w:num>
  <w:num w:numId="4" w16cid:durableId="1589272785">
    <w:abstractNumId w:val="15"/>
  </w:num>
  <w:num w:numId="5" w16cid:durableId="827788269">
    <w:abstractNumId w:val="6"/>
  </w:num>
  <w:num w:numId="6" w16cid:durableId="1222671307">
    <w:abstractNumId w:val="0"/>
  </w:num>
  <w:num w:numId="7" w16cid:durableId="272446662">
    <w:abstractNumId w:val="11"/>
  </w:num>
  <w:num w:numId="8" w16cid:durableId="527446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2"/>
  </w:num>
  <w:num w:numId="10" w16cid:durableId="1624537535">
    <w:abstractNumId w:val="17"/>
  </w:num>
  <w:num w:numId="11" w16cid:durableId="1621296996">
    <w:abstractNumId w:val="5"/>
  </w:num>
  <w:num w:numId="12" w16cid:durableId="1451624990">
    <w:abstractNumId w:val="19"/>
  </w:num>
  <w:num w:numId="13" w16cid:durableId="1903321324">
    <w:abstractNumId w:val="7"/>
  </w:num>
  <w:num w:numId="14" w16cid:durableId="575557532">
    <w:abstractNumId w:val="12"/>
  </w:num>
  <w:num w:numId="15" w16cid:durableId="235240003">
    <w:abstractNumId w:val="16"/>
  </w:num>
  <w:num w:numId="16" w16cid:durableId="1496993410">
    <w:abstractNumId w:val="1"/>
  </w:num>
  <w:num w:numId="17" w16cid:durableId="552085659">
    <w:abstractNumId w:val="13"/>
  </w:num>
  <w:num w:numId="18" w16cid:durableId="505899515">
    <w:abstractNumId w:val="9"/>
  </w:num>
  <w:num w:numId="19" w16cid:durableId="1778019972">
    <w:abstractNumId w:val="4"/>
  </w:num>
  <w:num w:numId="20" w16cid:durableId="1942976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6D1C"/>
    <w:rsid w:val="00066D46"/>
    <w:rsid w:val="00076FB7"/>
    <w:rsid w:val="000773CE"/>
    <w:rsid w:val="00077C95"/>
    <w:rsid w:val="00090C22"/>
    <w:rsid w:val="000C3261"/>
    <w:rsid w:val="000F7A38"/>
    <w:rsid w:val="000F7DBC"/>
    <w:rsid w:val="00110543"/>
    <w:rsid w:val="0013570E"/>
    <w:rsid w:val="00145C42"/>
    <w:rsid w:val="00161983"/>
    <w:rsid w:val="001B034E"/>
    <w:rsid w:val="001D7038"/>
    <w:rsid w:val="001E2C87"/>
    <w:rsid w:val="002257FC"/>
    <w:rsid w:val="0023211B"/>
    <w:rsid w:val="002331B7"/>
    <w:rsid w:val="00244890"/>
    <w:rsid w:val="002625B0"/>
    <w:rsid w:val="002637CC"/>
    <w:rsid w:val="00264200"/>
    <w:rsid w:val="00265FDA"/>
    <w:rsid w:val="00275776"/>
    <w:rsid w:val="00294F07"/>
    <w:rsid w:val="00296E99"/>
    <w:rsid w:val="0029784C"/>
    <w:rsid w:val="002D683A"/>
    <w:rsid w:val="00316A56"/>
    <w:rsid w:val="0033603F"/>
    <w:rsid w:val="003506DD"/>
    <w:rsid w:val="003730B7"/>
    <w:rsid w:val="003737AE"/>
    <w:rsid w:val="00382989"/>
    <w:rsid w:val="0039016D"/>
    <w:rsid w:val="00393F3D"/>
    <w:rsid w:val="003A31B2"/>
    <w:rsid w:val="003F37FF"/>
    <w:rsid w:val="003F38CE"/>
    <w:rsid w:val="003F6FC5"/>
    <w:rsid w:val="003F74DE"/>
    <w:rsid w:val="00416672"/>
    <w:rsid w:val="004425BD"/>
    <w:rsid w:val="004431B2"/>
    <w:rsid w:val="00453E24"/>
    <w:rsid w:val="00462958"/>
    <w:rsid w:val="004720D0"/>
    <w:rsid w:val="00475E53"/>
    <w:rsid w:val="0048150A"/>
    <w:rsid w:val="004A3C1E"/>
    <w:rsid w:val="004C1893"/>
    <w:rsid w:val="004D0D62"/>
    <w:rsid w:val="004F196F"/>
    <w:rsid w:val="004F5490"/>
    <w:rsid w:val="005051A3"/>
    <w:rsid w:val="00506509"/>
    <w:rsid w:val="00526812"/>
    <w:rsid w:val="00526EA9"/>
    <w:rsid w:val="00541557"/>
    <w:rsid w:val="005539FA"/>
    <w:rsid w:val="005556D0"/>
    <w:rsid w:val="00566090"/>
    <w:rsid w:val="0057114F"/>
    <w:rsid w:val="005850A6"/>
    <w:rsid w:val="00594B68"/>
    <w:rsid w:val="005B54F0"/>
    <w:rsid w:val="005D4A9C"/>
    <w:rsid w:val="005F666B"/>
    <w:rsid w:val="00603F59"/>
    <w:rsid w:val="0063454F"/>
    <w:rsid w:val="006760B9"/>
    <w:rsid w:val="00692F1B"/>
    <w:rsid w:val="006A6369"/>
    <w:rsid w:val="006A74E0"/>
    <w:rsid w:val="006D188A"/>
    <w:rsid w:val="006E58FB"/>
    <w:rsid w:val="006F4F98"/>
    <w:rsid w:val="00706CB1"/>
    <w:rsid w:val="00733D4E"/>
    <w:rsid w:val="0074408A"/>
    <w:rsid w:val="00766851"/>
    <w:rsid w:val="00771473"/>
    <w:rsid w:val="00780A3E"/>
    <w:rsid w:val="00786A08"/>
    <w:rsid w:val="00795CAB"/>
    <w:rsid w:val="007963FF"/>
    <w:rsid w:val="007C0F3D"/>
    <w:rsid w:val="007C1939"/>
    <w:rsid w:val="007D2F89"/>
    <w:rsid w:val="007D6888"/>
    <w:rsid w:val="007F18C8"/>
    <w:rsid w:val="00821955"/>
    <w:rsid w:val="00836238"/>
    <w:rsid w:val="00861909"/>
    <w:rsid w:val="00866FC2"/>
    <w:rsid w:val="00881283"/>
    <w:rsid w:val="00891953"/>
    <w:rsid w:val="008A4E9E"/>
    <w:rsid w:val="008B6E74"/>
    <w:rsid w:val="008C6989"/>
    <w:rsid w:val="008D11E3"/>
    <w:rsid w:val="008D75FD"/>
    <w:rsid w:val="008E2B70"/>
    <w:rsid w:val="008F2605"/>
    <w:rsid w:val="009017A7"/>
    <w:rsid w:val="00903044"/>
    <w:rsid w:val="00931BD1"/>
    <w:rsid w:val="00945433"/>
    <w:rsid w:val="009510C5"/>
    <w:rsid w:val="0095284B"/>
    <w:rsid w:val="009C0D41"/>
    <w:rsid w:val="009D2061"/>
    <w:rsid w:val="009D796A"/>
    <w:rsid w:val="009E0F19"/>
    <w:rsid w:val="009E47B2"/>
    <w:rsid w:val="009F37DC"/>
    <w:rsid w:val="00A04FD6"/>
    <w:rsid w:val="00A17AA9"/>
    <w:rsid w:val="00A20ABF"/>
    <w:rsid w:val="00A634FE"/>
    <w:rsid w:val="00A85E16"/>
    <w:rsid w:val="00AA05F6"/>
    <w:rsid w:val="00AA362E"/>
    <w:rsid w:val="00AC588A"/>
    <w:rsid w:val="00AC609E"/>
    <w:rsid w:val="00AD011B"/>
    <w:rsid w:val="00AE68D7"/>
    <w:rsid w:val="00B04571"/>
    <w:rsid w:val="00B04987"/>
    <w:rsid w:val="00B35CB5"/>
    <w:rsid w:val="00B47A10"/>
    <w:rsid w:val="00B54B84"/>
    <w:rsid w:val="00B7110B"/>
    <w:rsid w:val="00B8280E"/>
    <w:rsid w:val="00B8581F"/>
    <w:rsid w:val="00BD1476"/>
    <w:rsid w:val="00BD195E"/>
    <w:rsid w:val="00C31A7C"/>
    <w:rsid w:val="00C31C9F"/>
    <w:rsid w:val="00C51C2B"/>
    <w:rsid w:val="00C52383"/>
    <w:rsid w:val="00CA413A"/>
    <w:rsid w:val="00CD0480"/>
    <w:rsid w:val="00CD5E3C"/>
    <w:rsid w:val="00CE0829"/>
    <w:rsid w:val="00CE62ED"/>
    <w:rsid w:val="00CF2429"/>
    <w:rsid w:val="00CF7F58"/>
    <w:rsid w:val="00D10476"/>
    <w:rsid w:val="00D35B72"/>
    <w:rsid w:val="00D86C68"/>
    <w:rsid w:val="00DA423C"/>
    <w:rsid w:val="00DA4C07"/>
    <w:rsid w:val="00DB05AD"/>
    <w:rsid w:val="00DC592B"/>
    <w:rsid w:val="00DC70FF"/>
    <w:rsid w:val="00DD034E"/>
    <w:rsid w:val="00DD299C"/>
    <w:rsid w:val="00DE77C1"/>
    <w:rsid w:val="00E406BF"/>
    <w:rsid w:val="00E479F1"/>
    <w:rsid w:val="00EA1686"/>
    <w:rsid w:val="00EA63E1"/>
    <w:rsid w:val="00EB7E1E"/>
    <w:rsid w:val="00ED086A"/>
    <w:rsid w:val="00EE3A17"/>
    <w:rsid w:val="00EF337D"/>
    <w:rsid w:val="00F31950"/>
    <w:rsid w:val="00F343FC"/>
    <w:rsid w:val="00F73D44"/>
    <w:rsid w:val="00F73E62"/>
    <w:rsid w:val="00F757DE"/>
    <w:rsid w:val="00F80AA5"/>
    <w:rsid w:val="00F816B6"/>
    <w:rsid w:val="00F947E6"/>
    <w:rsid w:val="00FB6865"/>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ED086A"/>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8419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40</cp:revision>
  <dcterms:created xsi:type="dcterms:W3CDTF">2019-01-11T14:41:00Z</dcterms:created>
  <dcterms:modified xsi:type="dcterms:W3CDTF">2025-11-05T14:00:00Z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